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Balancing Services Use of System (BSUoS) Charges:</w:t>
        <w:br/>
        <w:t>Historical Review, Cost Drivers, and Forecast Outlook</w:t>
      </w:r>
    </w:p>
    <w:p>
      <w:pPr/>
      <w:r>
        <w:br/>
        <w:t>Prepared for: Upowerenergy</w:t>
        <w:br/>
        <w:t>Date: 11 September 2025</w:t>
      </w:r>
    </w:p>
    <w:p>
      <w:pPr>
        <w:pStyle w:val="Heading1"/>
      </w:pPr>
      <w:r>
        <w:br/>
        <w:t>Executive Summary</w:t>
      </w:r>
    </w:p>
    <w:p>
      <w:r>
        <w:t>This report provides a detailed review of the Balancing Services Use of System (BSUoS) charges, including historical trends from 2019 to 2024, current cost drivers, and forecasted tariffs through March 2027. BSUoS is a key network cost component levied by the National Electricity System Operator (NESO) to recover costs related to balancing the electricity system. Since April 2023, the charge has been applied solely to Final Demand, following the implementation of CUSC Modification CMP308.</w:t>
      </w:r>
    </w:p>
    <w:p>
      <w:pPr>
        <w:pStyle w:val="Heading1"/>
      </w:pPr>
      <w:r>
        <w:br/>
        <w:t>1. Historical Tariffs (2019–2024)</w:t>
      </w:r>
    </w:p>
    <w:p>
      <w:r>
        <w:t>Prior to April 2023, BSUoS tariffs were highly volatile and calculated ex-post, reflecting real-time balancing costs. These charges were recovered from both generators and consumers. The introduction of fixed tariffs, followed by the shift to Final Demand-only recovery, marked a significant change in BSUoS methodology.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w:t>
            </w:r>
          </w:p>
        </w:tc>
        <w:tc>
          <w:tcPr>
            <w:tcW w:type="dxa" w:w="2160"/>
          </w:tcPr>
          <w:p>
            <w:r>
              <w:t>Minimum (£/MWh)</w:t>
            </w:r>
          </w:p>
        </w:tc>
        <w:tc>
          <w:tcPr>
            <w:tcW w:type="dxa" w:w="2160"/>
          </w:tcPr>
          <w:p>
            <w:r>
              <w:t>Maximum (£/MWh)</w:t>
            </w:r>
          </w:p>
        </w:tc>
        <w:tc>
          <w:tcPr>
            <w:tcW w:type="dxa" w:w="2160"/>
          </w:tcPr>
          <w:p>
            <w:r>
              <w:t>Average (£/MWh)</w:t>
            </w:r>
          </w:p>
        </w:tc>
      </w:tr>
      <w:tr>
        <w:tc>
          <w:tcPr>
            <w:tcW w:type="dxa" w:w="2160"/>
          </w:tcPr>
          <w:p>
            <w:r>
              <w:t>2019/20</w:t>
            </w:r>
          </w:p>
        </w:tc>
        <w:tc>
          <w:tcPr>
            <w:tcW w:type="dxa" w:w="2160"/>
          </w:tcPr>
          <w:p>
            <w:r>
              <w:t>3.45</w:t>
            </w:r>
          </w:p>
        </w:tc>
        <w:tc>
          <w:tcPr>
            <w:tcW w:type="dxa" w:w="2160"/>
          </w:tcPr>
          <w:p>
            <w:r>
              <w:t>7.21</w:t>
            </w:r>
          </w:p>
        </w:tc>
        <w:tc>
          <w:tcPr>
            <w:tcW w:type="dxa" w:w="2160"/>
          </w:tcPr>
          <w:p>
            <w:r>
              <w:t>5.21</w:t>
            </w:r>
          </w:p>
        </w:tc>
      </w:tr>
      <w:tr>
        <w:tc>
          <w:tcPr>
            <w:tcW w:type="dxa" w:w="2160"/>
          </w:tcPr>
          <w:p>
            <w:r>
              <w:t>2020/21</w:t>
            </w:r>
          </w:p>
        </w:tc>
        <w:tc>
          <w:tcPr>
            <w:tcW w:type="dxa" w:w="2160"/>
          </w:tcPr>
          <w:p>
            <w:r>
              <w:t>2.80</w:t>
            </w:r>
          </w:p>
        </w:tc>
        <w:tc>
          <w:tcPr>
            <w:tcW w:type="dxa" w:w="2160"/>
          </w:tcPr>
          <w:p>
            <w:r>
              <w:t>10.34</w:t>
            </w:r>
          </w:p>
        </w:tc>
        <w:tc>
          <w:tcPr>
            <w:tcW w:type="dxa" w:w="2160"/>
          </w:tcPr>
          <w:p>
            <w:r>
              <w:t>6.11</w:t>
            </w:r>
          </w:p>
        </w:tc>
      </w:tr>
      <w:tr>
        <w:tc>
          <w:tcPr>
            <w:tcW w:type="dxa" w:w="2160"/>
          </w:tcPr>
          <w:p>
            <w:r>
              <w:t>2021/22</w:t>
            </w:r>
          </w:p>
        </w:tc>
        <w:tc>
          <w:tcPr>
            <w:tcW w:type="dxa" w:w="2160"/>
          </w:tcPr>
          <w:p>
            <w:r>
              <w:t>6.12</w:t>
            </w:r>
          </w:p>
        </w:tc>
        <w:tc>
          <w:tcPr>
            <w:tcW w:type="dxa" w:w="2160"/>
          </w:tcPr>
          <w:p>
            <w:r>
              <w:t>23.48</w:t>
            </w:r>
          </w:p>
        </w:tc>
        <w:tc>
          <w:tcPr>
            <w:tcW w:type="dxa" w:w="2160"/>
          </w:tcPr>
          <w:p>
            <w:r>
              <w:t>10.65</w:t>
            </w:r>
          </w:p>
        </w:tc>
      </w:tr>
      <w:tr>
        <w:tc>
          <w:tcPr>
            <w:tcW w:type="dxa" w:w="2160"/>
          </w:tcPr>
          <w:p>
            <w:r>
              <w:t>2022/23</w:t>
            </w:r>
          </w:p>
        </w:tc>
        <w:tc>
          <w:tcPr>
            <w:tcW w:type="dxa" w:w="2160"/>
          </w:tcPr>
          <w:p>
            <w:r>
              <w:t>9.01</w:t>
            </w:r>
          </w:p>
        </w:tc>
        <w:tc>
          <w:tcPr>
            <w:tcW w:type="dxa" w:w="2160"/>
          </w:tcPr>
          <w:p>
            <w:r>
              <w:t>28.90</w:t>
            </w:r>
          </w:p>
        </w:tc>
        <w:tc>
          <w:tcPr>
            <w:tcW w:type="dxa" w:w="2160"/>
          </w:tcPr>
          <w:p>
            <w:r>
              <w:t>17.24</w:t>
            </w:r>
          </w:p>
        </w:tc>
      </w:tr>
      <w:tr>
        <w:tc>
          <w:tcPr>
            <w:tcW w:type="dxa" w:w="2160"/>
          </w:tcPr>
          <w:p>
            <w:r>
              <w:t>2023/24</w:t>
            </w:r>
          </w:p>
        </w:tc>
        <w:tc>
          <w:tcPr>
            <w:tcW w:type="dxa" w:w="2160"/>
          </w:tcPr>
          <w:p>
            <w:r>
              <w:t>6.72</w:t>
            </w:r>
          </w:p>
        </w:tc>
        <w:tc>
          <w:tcPr>
            <w:tcW w:type="dxa" w:w="2160"/>
          </w:tcPr>
          <w:p>
            <w:r>
              <w:t>15.90</w:t>
            </w:r>
          </w:p>
        </w:tc>
        <w:tc>
          <w:tcPr>
            <w:tcW w:type="dxa" w:w="2160"/>
          </w:tcPr>
          <w:p>
            <w:r>
              <w:t>11.84</w:t>
            </w:r>
          </w:p>
        </w:tc>
      </w:tr>
    </w:tbl>
    <w:p>
      <w:pPr>
        <w:pStyle w:val="Heading1"/>
      </w:pPr>
      <w:r>
        <w:br/>
        <w:t>2. Forecast Tariffs (2024–2027)</w:t>
      </w:r>
    </w:p>
    <w:p>
      <w:r>
        <w:t>From April 2025, BSUoS tariffs are determined on a seasonal basis with a 3-month notice period, covering two distinct seasons per year: April–September and October–March. Final and forecast tariffs are shown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Tariff Code</w:t>
            </w:r>
          </w:p>
        </w:tc>
        <w:tc>
          <w:tcPr>
            <w:tcW w:type="dxa" w:w="1728"/>
          </w:tcPr>
          <w:p>
            <w:r>
              <w:t>Period</w:t>
            </w:r>
          </w:p>
        </w:tc>
        <w:tc>
          <w:tcPr>
            <w:tcW w:type="dxa" w:w="1728"/>
          </w:tcPr>
          <w:p>
            <w:r>
              <w:t>Rate (£/MWh)</w:t>
            </w:r>
          </w:p>
        </w:tc>
        <w:tc>
          <w:tcPr>
            <w:tcW w:type="dxa" w:w="1728"/>
          </w:tcPr>
          <w:p>
            <w:r>
              <w:t>Status</w:t>
            </w:r>
          </w:p>
        </w:tc>
        <w:tc>
          <w:tcPr>
            <w:tcW w:type="dxa" w:w="1728"/>
          </w:tcPr>
          <w:p>
            <w:r>
              <w:t>Change from Previous</w:t>
            </w:r>
          </w:p>
        </w:tc>
      </w:tr>
      <w:tr>
        <w:tc>
          <w:tcPr>
            <w:tcW w:type="dxa" w:w="1728"/>
          </w:tcPr>
          <w:p>
            <w:r>
              <w:t>FT4</w:t>
            </w:r>
          </w:p>
        </w:tc>
        <w:tc>
          <w:tcPr>
            <w:tcW w:type="dxa" w:w="1728"/>
          </w:tcPr>
          <w:p>
            <w:r>
              <w:t>Oct 2024 – Mar 2025</w:t>
            </w:r>
          </w:p>
        </w:tc>
        <w:tc>
          <w:tcPr>
            <w:tcW w:type="dxa" w:w="1728"/>
          </w:tcPr>
          <w:p>
            <w:r>
              <w:t>11.99</w:t>
            </w:r>
          </w:p>
        </w:tc>
        <w:tc>
          <w:tcPr>
            <w:tcW w:type="dxa" w:w="1728"/>
          </w:tcPr>
          <w:p>
            <w:r>
              <w:t>Final</w:t>
            </w:r>
          </w:p>
        </w:tc>
        <w:tc>
          <w:tcPr>
            <w:tcW w:type="dxa" w:w="1728"/>
          </w:tcPr>
          <w:p>
            <w:r>
              <w:t>Baseline</w:t>
            </w:r>
          </w:p>
        </w:tc>
      </w:tr>
      <w:tr>
        <w:tc>
          <w:tcPr>
            <w:tcW w:type="dxa" w:w="1728"/>
          </w:tcPr>
          <w:p>
            <w:r>
              <w:t>FT5</w:t>
            </w:r>
          </w:p>
        </w:tc>
        <w:tc>
          <w:tcPr>
            <w:tcW w:type="dxa" w:w="1728"/>
          </w:tcPr>
          <w:p>
            <w:r>
              <w:t>Apr 2025 – Sep 2025</w:t>
            </w:r>
          </w:p>
        </w:tc>
        <w:tc>
          <w:tcPr>
            <w:tcW w:type="dxa" w:w="1728"/>
          </w:tcPr>
          <w:p>
            <w:r>
              <w:t>10.74</w:t>
            </w:r>
          </w:p>
        </w:tc>
        <w:tc>
          <w:tcPr>
            <w:tcW w:type="dxa" w:w="1728"/>
          </w:tcPr>
          <w:p>
            <w:r>
              <w:t>Final</w:t>
            </w:r>
          </w:p>
        </w:tc>
        <w:tc>
          <w:tcPr>
            <w:tcW w:type="dxa" w:w="1728"/>
          </w:tcPr>
          <w:p>
            <w:r>
              <w:t>↓ 10.4%</w:t>
            </w:r>
          </w:p>
        </w:tc>
      </w:tr>
      <w:tr>
        <w:tc>
          <w:tcPr>
            <w:tcW w:type="dxa" w:w="1728"/>
          </w:tcPr>
          <w:p>
            <w:r>
              <w:t>FT6</w:t>
            </w:r>
          </w:p>
        </w:tc>
        <w:tc>
          <w:tcPr>
            <w:tcW w:type="dxa" w:w="1728"/>
          </w:tcPr>
          <w:p>
            <w:r>
              <w:t>Oct 2025 – Mar 2026</w:t>
            </w:r>
          </w:p>
        </w:tc>
        <w:tc>
          <w:tcPr>
            <w:tcW w:type="dxa" w:w="1728"/>
          </w:tcPr>
          <w:p>
            <w:r>
              <w:t>15.69</w:t>
            </w:r>
          </w:p>
        </w:tc>
        <w:tc>
          <w:tcPr>
            <w:tcW w:type="dxa" w:w="1728"/>
          </w:tcPr>
          <w:p>
            <w:r>
              <w:t>Final</w:t>
            </w:r>
          </w:p>
        </w:tc>
        <w:tc>
          <w:tcPr>
            <w:tcW w:type="dxa" w:w="1728"/>
          </w:tcPr>
          <w:p>
            <w:r>
              <w:t>↑ 46%</w:t>
            </w:r>
          </w:p>
        </w:tc>
      </w:tr>
      <w:tr>
        <w:tc>
          <w:tcPr>
            <w:tcW w:type="dxa" w:w="1728"/>
          </w:tcPr>
          <w:p>
            <w:r>
              <w:t>FT7</w:t>
            </w:r>
          </w:p>
        </w:tc>
        <w:tc>
          <w:tcPr>
            <w:tcW w:type="dxa" w:w="1728"/>
          </w:tcPr>
          <w:p>
            <w:r>
              <w:t>Apr 2026 – Sep 2026</w:t>
            </w:r>
          </w:p>
        </w:tc>
        <w:tc>
          <w:tcPr>
            <w:tcW w:type="dxa" w:w="1728"/>
          </w:tcPr>
          <w:p>
            <w:r>
              <w:t>14.55</w:t>
            </w:r>
          </w:p>
        </w:tc>
        <w:tc>
          <w:tcPr>
            <w:tcW w:type="dxa" w:w="1728"/>
          </w:tcPr>
          <w:p>
            <w:r>
              <w:t>Initial Forecast</w:t>
            </w:r>
          </w:p>
        </w:tc>
        <w:tc>
          <w:tcPr>
            <w:tcW w:type="dxa" w:w="1728"/>
          </w:tcPr>
          <w:p>
            <w:r>
              <w:t>↑ 35%</w:t>
            </w:r>
          </w:p>
        </w:tc>
      </w:tr>
      <w:tr>
        <w:tc>
          <w:tcPr>
            <w:tcW w:type="dxa" w:w="1728"/>
          </w:tcPr>
          <w:p>
            <w:r>
              <w:t>FT8</w:t>
            </w:r>
          </w:p>
        </w:tc>
        <w:tc>
          <w:tcPr>
            <w:tcW w:type="dxa" w:w="1728"/>
          </w:tcPr>
          <w:p>
            <w:r>
              <w:t>Oct 2026 – Mar 2027</w:t>
            </w:r>
          </w:p>
        </w:tc>
        <w:tc>
          <w:tcPr>
            <w:tcW w:type="dxa" w:w="1728"/>
          </w:tcPr>
          <w:p>
            <w:r>
              <w:t>11.03</w:t>
            </w:r>
          </w:p>
        </w:tc>
        <w:tc>
          <w:tcPr>
            <w:tcW w:type="dxa" w:w="1728"/>
          </w:tcPr>
          <w:p>
            <w:r>
              <w:t>Initial Forecast</w:t>
            </w:r>
          </w:p>
        </w:tc>
        <w:tc>
          <w:tcPr>
            <w:tcW w:type="dxa" w:w="1728"/>
          </w:tcPr>
          <w:p>
            <w:r>
              <w:t>↓ 29.7%</w:t>
            </w:r>
          </w:p>
        </w:tc>
      </w:tr>
    </w:tbl>
    <w:p>
      <w:pPr>
        <w:pStyle w:val="Heading1"/>
      </w:pPr>
      <w:r>
        <w:br/>
        <w:t>3. Key Cost Drivers</w:t>
      </w:r>
    </w:p>
    <w:p>
      <w:r>
        <w:t>The level of BSUoS charges is primarily driven by the following factors:</w:t>
        <w:br/>
        <w:br/>
        <w:t>• Constraint Costs – These arise from redispatching generation due to network congestion and are the most volatile component.</w:t>
        <w:br/>
        <w:t>• Reserve and Frequency Services – Contracted services such as STOR, frequency response, and voltage control.</w:t>
        <w:br/>
        <w:t>• Internal NESO Costs – Operational costs including staff, IT, control systems, and market support functions.</w:t>
        <w:br/>
        <w:t>• Over-/Under-Recovery Adjustments – Surpluses or deficits from prior periods are adjusted in future tariffs.</w:t>
        <w:br/>
        <w:t>• Final Demand Volume Forecasts – Tariffs are sensitive to demand forecasts, with lower volumes increasing per-unit costs.</w:t>
      </w:r>
    </w:p>
    <w:p>
      <w:pPr>
        <w:pStyle w:val="Heading1"/>
      </w:pPr>
      <w:r>
        <w:br/>
        <w:t>4. Transmission vs Distribution-Connected Demand</w:t>
      </w:r>
    </w:p>
    <w:p>
      <w:r>
        <w:t>Although the BSUoS unit rate (£/MWh) is the same for all consumers, the method of billing differs:</w:t>
        <w:br/>
        <w:br/>
        <w:t>• Transmission-Connected Demand – These users are billed directly by NESO based on BM Unit import volumes. Charges are applied on a daily settlement basis and reconciled through the standard SF and RF runs.</w:t>
        <w:br/>
        <w:br/>
        <w:t>• Distribution-Connected Demand – Suppliers are billed for gross demand at Grid Supply Points (GSPs), which they then pass on to customers. Since CMP333 (April 2021), embedded generation is excluded from netting.</w:t>
        <w:br/>
        <w:br/>
        <w:t>In both cases, the same tariff applies; however, transmission-connected parties may benefit from more granular forecasting.</w:t>
      </w:r>
    </w:p>
    <w:p>
      <w:pPr>
        <w:pStyle w:val="Heading1"/>
      </w:pPr>
      <w:r>
        <w:br/>
        <w:t>5. Cash Flow Impact per GWh</w:t>
      </w:r>
    </w:p>
    <w:p>
      <w:r>
        <w:t>The following table illustrates the cash impact of BSUoS tariffs based on 1 GWh (1,000 MWh) of Final Demand:</w:t>
      </w:r>
    </w:p>
    <w:tbl>
      <w:tblPr>
        <w:tblStyle w:val="TableGrid"/>
        <w:tblW w:type="auto" w:w="0"/>
        <w:tblLook w:firstColumn="1" w:firstRow="1" w:lastColumn="0" w:lastRow="0" w:noHBand="0" w:noVBand="1" w:val="04A0"/>
      </w:tblPr>
      <w:tblGrid>
        <w:gridCol w:w="2880"/>
        <w:gridCol w:w="2880"/>
        <w:gridCol w:w="2880"/>
      </w:tblGrid>
      <w:tr>
        <w:tc>
          <w:tcPr>
            <w:tcW w:type="dxa" w:w="2880"/>
          </w:tcPr>
          <w:p>
            <w:r>
              <w:t>Season</w:t>
            </w:r>
          </w:p>
        </w:tc>
        <w:tc>
          <w:tcPr>
            <w:tcW w:type="dxa" w:w="2880"/>
          </w:tcPr>
          <w:p>
            <w:r>
              <w:t>Tariff (£/MWh)</w:t>
            </w:r>
          </w:p>
        </w:tc>
        <w:tc>
          <w:tcPr>
            <w:tcW w:type="dxa" w:w="2880"/>
          </w:tcPr>
          <w:p>
            <w:r>
              <w:t>Cost (£ per 1 GWh)</w:t>
            </w:r>
          </w:p>
        </w:tc>
      </w:tr>
      <w:tr>
        <w:tc>
          <w:tcPr>
            <w:tcW w:type="dxa" w:w="2880"/>
          </w:tcPr>
          <w:p>
            <w:r>
              <w:t>Summer 2025</w:t>
            </w:r>
          </w:p>
        </w:tc>
        <w:tc>
          <w:tcPr>
            <w:tcW w:type="dxa" w:w="2880"/>
          </w:tcPr>
          <w:p>
            <w:r>
              <w:t>10.74</w:t>
            </w:r>
          </w:p>
        </w:tc>
        <w:tc>
          <w:tcPr>
            <w:tcW w:type="dxa" w:w="2880"/>
          </w:tcPr>
          <w:p>
            <w:r>
              <w:t>£10,740</w:t>
            </w:r>
          </w:p>
        </w:tc>
      </w:tr>
      <w:tr>
        <w:tc>
          <w:tcPr>
            <w:tcW w:type="dxa" w:w="2880"/>
          </w:tcPr>
          <w:p>
            <w:r>
              <w:t>Winter 2025/26</w:t>
            </w:r>
          </w:p>
        </w:tc>
        <w:tc>
          <w:tcPr>
            <w:tcW w:type="dxa" w:w="2880"/>
          </w:tcPr>
          <w:p>
            <w:r>
              <w:t>15.69</w:t>
            </w:r>
          </w:p>
        </w:tc>
        <w:tc>
          <w:tcPr>
            <w:tcW w:type="dxa" w:w="2880"/>
          </w:tcPr>
          <w:p>
            <w:r>
              <w:t>£15,690</w:t>
            </w:r>
          </w:p>
        </w:tc>
      </w:tr>
      <w:tr>
        <w:tc>
          <w:tcPr>
            <w:tcW w:type="dxa" w:w="2880"/>
          </w:tcPr>
          <w:p>
            <w:r>
              <w:t>Summer 2026 (forecast)</w:t>
            </w:r>
          </w:p>
        </w:tc>
        <w:tc>
          <w:tcPr>
            <w:tcW w:type="dxa" w:w="2880"/>
          </w:tcPr>
          <w:p>
            <w:r>
              <w:t>14.55</w:t>
            </w:r>
          </w:p>
        </w:tc>
        <w:tc>
          <w:tcPr>
            <w:tcW w:type="dxa" w:w="2880"/>
          </w:tcPr>
          <w:p>
            <w:r>
              <w:t>£14,550</w:t>
            </w:r>
          </w:p>
        </w:tc>
      </w:tr>
      <w:tr>
        <w:tc>
          <w:tcPr>
            <w:tcW w:type="dxa" w:w="2880"/>
          </w:tcPr>
          <w:p>
            <w:r>
              <w:t>Winter 2026/27 (forecast)</w:t>
            </w:r>
          </w:p>
        </w:tc>
        <w:tc>
          <w:tcPr>
            <w:tcW w:type="dxa" w:w="2880"/>
          </w:tcPr>
          <w:p>
            <w:r>
              <w:t>11.03</w:t>
            </w:r>
          </w:p>
        </w:tc>
        <w:tc>
          <w:tcPr>
            <w:tcW w:type="dxa" w:w="2880"/>
          </w:tcPr>
          <w:p>
            <w:r>
              <w:t>£11,030</w:t>
            </w:r>
          </w:p>
        </w:tc>
      </w:tr>
    </w:tbl>
    <w:p>
      <w:pPr>
        <w:pStyle w:val="Heading1"/>
      </w:pPr>
      <w:r>
        <w:br/>
        <w:t>6. References</w:t>
      </w:r>
    </w:p>
    <w:p>
      <w:r>
        <w:t>1. NESO Fixed Tariff Publications, 2023–2025.</w:t>
        <w:br/>
      </w:r>
      <w:r>
        <w:t>2. CUSC Modifications CMP308, CMP361, CMP408, CMP415.</w:t>
        <w:br/>
      </w:r>
      <w:r>
        <w:t>3. Ofgem BSUoS Reform Decision (April 2022).</w:t>
        <w:br/>
      </w:r>
      <w:r>
        <w:t>4. NESO Annual Balancing Services Reports.</w:t>
        <w:br/>
      </w:r>
      <w:r>
        <w:t>5. Drax Insights – Initial BSUoS Forecasts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