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D4C8" w14:textId="74EC89E9" w:rsidR="001E2F5A" w:rsidRPr="001E2F5A" w:rsidRDefault="001E2F5A" w:rsidP="001E2F5A">
      <w:pPr>
        <w:spacing w:line="360" w:lineRule="auto"/>
        <w:jc w:val="center"/>
        <w:rPr>
          <w:rFonts w:ascii="Times New Roman" w:hAnsi="Times New Roman" w:cs="Times New Roman"/>
          <w:b/>
          <w:bCs/>
          <w:lang w:val="de-DE"/>
        </w:rPr>
      </w:pPr>
      <w:r w:rsidRPr="001E2F5A">
        <w:rPr>
          <w:rFonts w:ascii="Times New Roman" w:hAnsi="Times New Roman" w:cs="Times New Roman"/>
          <w:b/>
          <w:bCs/>
          <w:lang w:val="de-DE"/>
        </w:rPr>
        <w:t>„Die Kommissarin“ in Karlshorst Filmvorführung und Gespräch</w:t>
      </w:r>
    </w:p>
    <w:p w14:paraId="6CEF92B3" w14:textId="3EC3F5BB" w:rsidR="00E11F4A" w:rsidRPr="00E11F4A" w:rsidRDefault="00E11F4A" w:rsidP="00E11F4A">
      <w:pPr>
        <w:spacing w:line="360" w:lineRule="auto"/>
        <w:rPr>
          <w:rFonts w:ascii="Times New Roman" w:hAnsi="Times New Roman" w:cs="Times New Roman"/>
          <w:b/>
          <w:bCs/>
          <w:lang w:val="de-DE"/>
        </w:rPr>
      </w:pPr>
      <w:r w:rsidRPr="00E11F4A">
        <w:rPr>
          <w:rFonts w:ascii="Times New Roman" w:hAnsi="Times New Roman" w:cs="Times New Roman"/>
          <w:b/>
          <w:bCs/>
          <w:lang w:val="de-DE"/>
        </w:rPr>
        <w:t>Der Film und sein historischer Kontext</w:t>
      </w:r>
    </w:p>
    <w:p w14:paraId="32977964" w14:textId="2A7B9A21"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lang w:val="de-DE"/>
        </w:rPr>
        <w:t xml:space="preserve">Aleksandr </w:t>
      </w:r>
      <w:proofErr w:type="spellStart"/>
      <w:r w:rsidRPr="00E11F4A">
        <w:rPr>
          <w:rFonts w:ascii="Times New Roman" w:hAnsi="Times New Roman" w:cs="Times New Roman"/>
          <w:lang w:val="de-DE"/>
        </w:rPr>
        <w:t>Askoldovs</w:t>
      </w:r>
      <w:proofErr w:type="spellEnd"/>
      <w:r w:rsidRPr="00E11F4A">
        <w:rPr>
          <w:rFonts w:ascii="Times New Roman" w:hAnsi="Times New Roman" w:cs="Times New Roman"/>
          <w:lang w:val="de-DE"/>
        </w:rPr>
        <w:t xml:space="preserve"> Film „Die Kommissarin“ entstand 1967 nach Wassili Grossmans Erzählung „In der Stadt </w:t>
      </w:r>
      <w:proofErr w:type="spellStart"/>
      <w:r w:rsidRPr="00E11F4A">
        <w:rPr>
          <w:rFonts w:ascii="Times New Roman" w:hAnsi="Times New Roman" w:cs="Times New Roman"/>
          <w:lang w:val="de-DE"/>
        </w:rPr>
        <w:t>Berdytschiw</w:t>
      </w:r>
      <w:proofErr w:type="spellEnd"/>
      <w:r w:rsidRPr="00E11F4A">
        <w:rPr>
          <w:rFonts w:ascii="Times New Roman" w:hAnsi="Times New Roman" w:cs="Times New Roman"/>
          <w:lang w:val="de-DE"/>
        </w:rPr>
        <w:t xml:space="preserve"> “. Schon diese literarische Grundlage ist für das Verständnis des Films zentral: </w:t>
      </w:r>
      <w:proofErr w:type="spellStart"/>
      <w:r w:rsidRPr="00E11F4A">
        <w:rPr>
          <w:rFonts w:ascii="Times New Roman" w:hAnsi="Times New Roman" w:cs="Times New Roman"/>
          <w:lang w:val="de-DE"/>
        </w:rPr>
        <w:t>Berdytschiw</w:t>
      </w:r>
      <w:proofErr w:type="spellEnd"/>
      <w:r w:rsidRPr="00E11F4A">
        <w:rPr>
          <w:rFonts w:ascii="Times New Roman" w:hAnsi="Times New Roman" w:cs="Times New Roman"/>
          <w:lang w:val="de-DE"/>
        </w:rPr>
        <w:t xml:space="preserve"> steht nicht nur für einen konkreten Ort, sondern für einen jüdisch geprägten Raum im ehemaligen Zarenreich, in dem Revolution, Bürgerkrieg und jüdischer Alltag aufeinandertreffen. Im Zentrum der Handlung steht die schwangere Kommissarin </w:t>
      </w:r>
      <w:proofErr w:type="spellStart"/>
      <w:r w:rsidRPr="00E11F4A">
        <w:rPr>
          <w:rFonts w:ascii="Times New Roman" w:hAnsi="Times New Roman" w:cs="Times New Roman"/>
          <w:lang w:val="de-DE"/>
        </w:rPr>
        <w:t>Klawdija</w:t>
      </w:r>
      <w:proofErr w:type="spellEnd"/>
      <w:r w:rsidRPr="00E11F4A">
        <w:rPr>
          <w:rFonts w:ascii="Times New Roman" w:hAnsi="Times New Roman" w:cs="Times New Roman"/>
          <w:lang w:val="de-DE"/>
        </w:rPr>
        <w:t xml:space="preserve"> </w:t>
      </w:r>
      <w:proofErr w:type="spellStart"/>
      <w:r w:rsidRPr="00E11F4A">
        <w:rPr>
          <w:rFonts w:ascii="Times New Roman" w:hAnsi="Times New Roman" w:cs="Times New Roman"/>
          <w:lang w:val="de-DE"/>
        </w:rPr>
        <w:t>Wawilowa</w:t>
      </w:r>
      <w:proofErr w:type="spellEnd"/>
      <w:r w:rsidRPr="00E11F4A">
        <w:rPr>
          <w:rFonts w:ascii="Times New Roman" w:hAnsi="Times New Roman" w:cs="Times New Roman"/>
          <w:lang w:val="de-DE"/>
        </w:rPr>
        <w:t>, die ihre Einheit vorübergehend verlassen muss und im Haus einer armen jüdischen Familie aufgenommen wird. Indem sie mit dieser Familie den Alltag teilt, verschiebt sich der Blick des Films von der großen politischen Geschichte auf die Erfahrung von Nähe, Verletzlichkeit und existenzieller Unsicherheit.</w:t>
      </w:r>
    </w:p>
    <w:p w14:paraId="7818B895" w14:textId="77777777"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lang w:val="de-DE"/>
        </w:rPr>
        <w:t xml:space="preserve">Gerade darin liegt die Besonderheit von „Die Kommissarin“. Der Film erzählt nicht nur von Revolution und Bürgerkrieg, sondern von der Spannung zwischen politischer Gewalt und privatem Leben, zwischen ideologischer Härte und menschlicher Abhängigkeit. Formal verbindet </w:t>
      </w:r>
      <w:proofErr w:type="spellStart"/>
      <w:r w:rsidRPr="00E11F4A">
        <w:rPr>
          <w:rFonts w:ascii="Times New Roman" w:hAnsi="Times New Roman" w:cs="Times New Roman"/>
          <w:lang w:val="de-DE"/>
        </w:rPr>
        <w:t>Askoldov</w:t>
      </w:r>
      <w:proofErr w:type="spellEnd"/>
      <w:r w:rsidRPr="00E11F4A">
        <w:rPr>
          <w:rFonts w:ascii="Times New Roman" w:hAnsi="Times New Roman" w:cs="Times New Roman"/>
          <w:lang w:val="de-DE"/>
        </w:rPr>
        <w:t xml:space="preserve"> historische Dramatik mit Momenten des Grotesken, traumartigen Bildern und einer fast surrealen filmischen Sprache. Dadurch erscheint Geschichte nicht als heroischer Zusammenhang, sondern als brüchiger, bedrohlicher und innerlich zerrissener Raum.</w:t>
      </w:r>
    </w:p>
    <w:p w14:paraId="676E225D" w14:textId="0A8504B8"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lang w:val="de-DE"/>
        </w:rPr>
        <w:t>Zugleich rückt der Film eine jüdisch-sowjetische Erfahrungswelt in den Mittelpunkt, die im offiziellen sowjetischen Kino meist an den Rand gedrängt wurde. Besonders eindrücklich ist, dass der Film in der Erfahrung des Pogroms kulminiert, die die Hauptfigur gemeinsam mit der jüdischen Familie durchlebt. In dieser Verdichtung verschränken sich die Erinnerung an die Pogrome der Bürgerkriegszeit und die spätere Erinnerung an die Shoah. Antisemitische Deutungsmuster wie der Mythos der sogenannten „</w:t>
      </w:r>
      <w:proofErr w:type="spellStart"/>
      <w:r w:rsidRPr="00E11F4A">
        <w:rPr>
          <w:rFonts w:ascii="Times New Roman" w:hAnsi="Times New Roman" w:cs="Times New Roman"/>
          <w:lang w:val="de-DE"/>
        </w:rPr>
        <w:t>Żydokomuna</w:t>
      </w:r>
      <w:proofErr w:type="spellEnd"/>
      <w:r w:rsidRPr="00E11F4A">
        <w:rPr>
          <w:rFonts w:ascii="Times New Roman" w:hAnsi="Times New Roman" w:cs="Times New Roman"/>
          <w:lang w:val="de-DE"/>
        </w:rPr>
        <w:t>“ („</w:t>
      </w:r>
      <w:proofErr w:type="spellStart"/>
      <w:r w:rsidRPr="00E11F4A">
        <w:rPr>
          <w:rFonts w:ascii="Times New Roman" w:hAnsi="Times New Roman" w:cs="Times New Roman"/>
          <w:lang w:val="de-DE"/>
        </w:rPr>
        <w:t>Jewish</w:t>
      </w:r>
      <w:proofErr w:type="spellEnd"/>
      <w:r w:rsidRPr="00E11F4A">
        <w:rPr>
          <w:rFonts w:ascii="Times New Roman" w:hAnsi="Times New Roman" w:cs="Times New Roman"/>
          <w:lang w:val="de-DE"/>
        </w:rPr>
        <w:t xml:space="preserve"> </w:t>
      </w:r>
      <w:proofErr w:type="spellStart"/>
      <w:r w:rsidRPr="00E11F4A">
        <w:rPr>
          <w:rFonts w:ascii="Times New Roman" w:hAnsi="Times New Roman" w:cs="Times New Roman"/>
          <w:lang w:val="de-DE"/>
        </w:rPr>
        <w:t>Bolshevism</w:t>
      </w:r>
      <w:proofErr w:type="spellEnd"/>
      <w:r w:rsidRPr="00E11F4A">
        <w:rPr>
          <w:rFonts w:ascii="Times New Roman" w:hAnsi="Times New Roman" w:cs="Times New Roman"/>
          <w:lang w:val="de-DE"/>
        </w:rPr>
        <w:t>“) dienten dabei verschiedenen Akteuren als Legitimationsfigur für antijüdische Gewalt und wurden später von den Nationalsozialisten radikalisiert weitergeführt.</w:t>
      </w:r>
    </w:p>
    <w:p w14:paraId="7FC427A0" w14:textId="77777777" w:rsidR="00E11F4A" w:rsidRPr="00E11F4A" w:rsidRDefault="00E11F4A" w:rsidP="00E11F4A">
      <w:pPr>
        <w:spacing w:line="360" w:lineRule="auto"/>
        <w:rPr>
          <w:rFonts w:ascii="Times New Roman" w:hAnsi="Times New Roman" w:cs="Times New Roman"/>
        </w:rPr>
      </w:pPr>
      <w:r w:rsidRPr="00E11F4A">
        <w:rPr>
          <w:rFonts w:ascii="Times New Roman" w:hAnsi="Times New Roman" w:cs="Times New Roman"/>
          <w:lang w:val="de-DE"/>
        </w:rPr>
        <w:t xml:space="preserve">Gerade diese Perspektive machte den Film für die sowjetische Zensur untragbar. </w:t>
      </w:r>
      <w:proofErr w:type="spellStart"/>
      <w:r w:rsidRPr="00E11F4A">
        <w:rPr>
          <w:rFonts w:ascii="Times New Roman" w:hAnsi="Times New Roman" w:cs="Times New Roman"/>
          <w:lang w:val="de-DE"/>
        </w:rPr>
        <w:t>Askoldov</w:t>
      </w:r>
      <w:proofErr w:type="spellEnd"/>
      <w:r w:rsidRPr="00E11F4A">
        <w:rPr>
          <w:rFonts w:ascii="Times New Roman" w:hAnsi="Times New Roman" w:cs="Times New Roman"/>
          <w:lang w:val="de-DE"/>
        </w:rPr>
        <w:t xml:space="preserve"> zeigte die Revolution nicht als eindeutigen Gründungsmythos, sondern als Raum von Gewalt, Angst, Pogromen und moralischer Desorientierung. „Die Kommissarin“ wurde deshalb verboten, verschwand für fast zwanzig Jahre aus der Öffentlichkeit und konnte erst in der Zeit der Glasnost gezeigt werden. </w:t>
      </w:r>
    </w:p>
    <w:p w14:paraId="49D84714" w14:textId="74A6B1B4" w:rsidR="00E11F4A" w:rsidRPr="001E2F5A" w:rsidRDefault="00E11F4A" w:rsidP="00E11F4A">
      <w:pPr>
        <w:spacing w:line="360" w:lineRule="auto"/>
        <w:rPr>
          <w:rFonts w:ascii="Times New Roman" w:hAnsi="Times New Roman" w:cs="Times New Roman"/>
        </w:rPr>
      </w:pPr>
      <w:r w:rsidRPr="00E11F4A">
        <w:rPr>
          <w:rFonts w:ascii="Times New Roman" w:hAnsi="Times New Roman" w:cs="Times New Roman"/>
          <w:lang w:val="de-DE"/>
        </w:rPr>
        <w:t>Heute gilt der Film als eines der wichtigsten wiederentdeckten Werke des sowjetischen Kinos, weil er verdrängte jüdisch-sowjetische Erfahrungsräume sichtbar macht und die lange übersehene Verbindung von Bürgerkrieg, Pogromgewalt und Shoah ins Zentrum rückt.</w:t>
      </w:r>
    </w:p>
    <w:p w14:paraId="60DE4FBE" w14:textId="5973C84E" w:rsidR="00514EB5" w:rsidRPr="00514EB5" w:rsidRDefault="00514EB5" w:rsidP="00E11F4A">
      <w:pPr>
        <w:spacing w:line="360" w:lineRule="auto"/>
        <w:rPr>
          <w:rFonts w:ascii="Times New Roman" w:hAnsi="Times New Roman" w:cs="Times New Roman"/>
          <w:b/>
          <w:bCs/>
          <w:lang w:val="de-DE"/>
        </w:rPr>
      </w:pPr>
      <w:r w:rsidRPr="00514EB5">
        <w:rPr>
          <w:rFonts w:ascii="Times New Roman" w:hAnsi="Times New Roman" w:cs="Times New Roman"/>
          <w:b/>
          <w:bCs/>
          <w:lang w:val="de-DE"/>
        </w:rPr>
        <w:lastRenderedPageBreak/>
        <w:t>Kurzkonzeption</w:t>
      </w:r>
    </w:p>
    <w:p w14:paraId="4BA606E9" w14:textId="77777777" w:rsidR="00514EB5" w:rsidRPr="00514EB5" w:rsidRDefault="00514EB5" w:rsidP="00E11F4A">
      <w:pPr>
        <w:spacing w:line="360" w:lineRule="auto"/>
        <w:rPr>
          <w:rFonts w:ascii="Times New Roman" w:hAnsi="Times New Roman" w:cs="Times New Roman"/>
          <w:lang w:val="de-DE"/>
        </w:rPr>
      </w:pPr>
      <w:r w:rsidRPr="00514EB5">
        <w:rPr>
          <w:rFonts w:ascii="Times New Roman" w:hAnsi="Times New Roman" w:cs="Times New Roman"/>
          <w:lang w:val="de-DE"/>
        </w:rPr>
        <w:t xml:space="preserve">Die Veranstaltung zu Aleksandr </w:t>
      </w:r>
      <w:proofErr w:type="spellStart"/>
      <w:r w:rsidRPr="00514EB5">
        <w:rPr>
          <w:rFonts w:ascii="Times New Roman" w:hAnsi="Times New Roman" w:cs="Times New Roman"/>
          <w:lang w:val="de-DE"/>
        </w:rPr>
        <w:t>Askoldovs</w:t>
      </w:r>
      <w:proofErr w:type="spellEnd"/>
      <w:r w:rsidRPr="00514EB5">
        <w:rPr>
          <w:rFonts w:ascii="Times New Roman" w:hAnsi="Times New Roman" w:cs="Times New Roman"/>
          <w:lang w:val="de-DE"/>
        </w:rPr>
        <w:t xml:space="preserve"> „Die Kommissarin“ in Karlshorst soll den Film als Ausgangspunkt für ein Gespräch über jüdisch-sowjetische Erfahrung, Krieg und Erinnerung nehmen. Im Zentrum steht die Überlegung, dass dieser Film nicht nur zur sowjetischen Filmgeschichte gehört, sondern auch zur Geschichte eines Kinos, das durch Zensur, Ausschluss und verspätete Sichtbarkeit geprägt ist. Gerade darin liegt seine besondere Bedeutung: „Die Kommissarin“ zeigt nicht einfach jüdisches Leben als solches, sondern eine jüdisch-sowjetische Welt im Moment historischen Umbruchs – zwischen Revolution, Bürgerkrieg, Gewalt und wachsender Bedrohung.</w:t>
      </w:r>
    </w:p>
    <w:p w14:paraId="3B63FF26" w14:textId="77777777" w:rsidR="00514EB5" w:rsidRPr="00514EB5" w:rsidRDefault="00514EB5" w:rsidP="00E11F4A">
      <w:pPr>
        <w:spacing w:line="360" w:lineRule="auto"/>
        <w:rPr>
          <w:rFonts w:ascii="Times New Roman" w:hAnsi="Times New Roman" w:cs="Times New Roman"/>
          <w:lang w:val="de-DE"/>
        </w:rPr>
      </w:pPr>
      <w:r w:rsidRPr="00514EB5">
        <w:rPr>
          <w:rFonts w:ascii="Times New Roman" w:hAnsi="Times New Roman" w:cs="Times New Roman"/>
          <w:lang w:val="de-DE"/>
        </w:rPr>
        <w:t xml:space="preserve">Für ein Format von Kino </w:t>
      </w:r>
      <w:proofErr w:type="spellStart"/>
      <w:r w:rsidRPr="00514EB5">
        <w:rPr>
          <w:rFonts w:ascii="Times New Roman" w:hAnsi="Times New Roman" w:cs="Times New Roman"/>
          <w:lang w:val="de-DE"/>
        </w:rPr>
        <w:t>Kaddish</w:t>
      </w:r>
      <w:proofErr w:type="spellEnd"/>
      <w:r w:rsidRPr="00514EB5">
        <w:rPr>
          <w:rFonts w:ascii="Times New Roman" w:hAnsi="Times New Roman" w:cs="Times New Roman"/>
          <w:lang w:val="de-DE"/>
        </w:rPr>
        <w:t xml:space="preserve"> ist der Film deshalb besonders geeignet, weil er sich an der Schnittstelle von jüdisch-sowjetischer Erfahrung, osteuropäischer Gewaltgeschichte und Erinnerungspolitik bewegt. </w:t>
      </w:r>
      <w:proofErr w:type="spellStart"/>
      <w:r w:rsidRPr="00514EB5">
        <w:rPr>
          <w:rFonts w:ascii="Times New Roman" w:hAnsi="Times New Roman" w:cs="Times New Roman"/>
          <w:lang w:val="de-DE"/>
        </w:rPr>
        <w:t>Berditschew</w:t>
      </w:r>
      <w:proofErr w:type="spellEnd"/>
      <w:r w:rsidRPr="00514EB5">
        <w:rPr>
          <w:rFonts w:ascii="Times New Roman" w:hAnsi="Times New Roman" w:cs="Times New Roman"/>
          <w:lang w:val="de-DE"/>
        </w:rPr>
        <w:t xml:space="preserve"> erscheint dabei nicht nur als Schauplatz, sondern als historisch aufgeladener Ort jüdisch-sowjetischen Lebens. Der Film erinnert an die Pogrome der Bürgerkriegszeit und verweist zugleich auf den späteren Katastrophenhorizont des Holocaust. Gerade dadurch lässt sich „Die Kommissarin“ als ein Werk lesen, das Alltag, Verletzlichkeit und prekäre Zugehörigkeit einer jüdisch-sowjetischen Welt sichtbar macht, wo offizielle Geschichtsbilder diese Erfahrung lange marginalisiert oder im allgemeinen Bild „sowjetischen Leidens“ aufgelöst haben.</w:t>
      </w:r>
    </w:p>
    <w:p w14:paraId="06401ADE" w14:textId="08D954B2" w:rsidR="00514EB5" w:rsidRPr="00514EB5" w:rsidRDefault="00514EB5" w:rsidP="00E11F4A">
      <w:pPr>
        <w:spacing w:line="360" w:lineRule="auto"/>
        <w:rPr>
          <w:rFonts w:ascii="Times New Roman" w:hAnsi="Times New Roman" w:cs="Times New Roman"/>
          <w:lang w:val="de-DE"/>
        </w:rPr>
      </w:pPr>
      <w:r w:rsidRPr="00514EB5">
        <w:rPr>
          <w:rFonts w:ascii="Times New Roman" w:hAnsi="Times New Roman" w:cs="Times New Roman"/>
          <w:lang w:val="de-DE"/>
        </w:rPr>
        <w:t xml:space="preserve">Karlshorst bietet für diese Perspektive einen besonders starken Rahmen, weil sich hier die Erinnerung an Kriegsende, Kapitulation und Befreiung mit der Frage verbinden lässt, welche Geschichten im Erinnern sichtbar werden und welche nicht. In diesem Zusammenhang kann der Film als Korrektiv </w:t>
      </w:r>
      <w:r w:rsidR="00E11F4A" w:rsidRPr="00E11F4A">
        <w:rPr>
          <w:rFonts w:ascii="Times New Roman" w:hAnsi="Times New Roman" w:cs="Times New Roman"/>
          <w:lang w:val="de-DE"/>
        </w:rPr>
        <w:t>zu einer rein militärischen oder staatlich erzählten Geschichte</w:t>
      </w:r>
      <w:r w:rsidRPr="00514EB5">
        <w:rPr>
          <w:rFonts w:ascii="Times New Roman" w:hAnsi="Times New Roman" w:cs="Times New Roman"/>
          <w:lang w:val="de-DE"/>
        </w:rPr>
        <w:t xml:space="preserve"> verstanden werden. Er öffnet den Blick auf eine jüdisch-sowjetische Perspektive innerhalb der osteuropäischen Gewaltgeschichte und auf die Spannung zwischen offizieller sowjetischer Erinnerung und jenen Erfahrungen, die darin lange nur unzureichend sichtbar waren.</w:t>
      </w:r>
    </w:p>
    <w:p w14:paraId="645363C1" w14:textId="77777777" w:rsidR="00514EB5" w:rsidRPr="00514EB5" w:rsidRDefault="00514EB5" w:rsidP="00E11F4A">
      <w:pPr>
        <w:spacing w:line="360" w:lineRule="auto"/>
        <w:rPr>
          <w:rFonts w:ascii="Times New Roman" w:hAnsi="Times New Roman" w:cs="Times New Roman"/>
          <w:lang w:val="de-DE"/>
        </w:rPr>
      </w:pPr>
      <w:r w:rsidRPr="00514EB5">
        <w:rPr>
          <w:rFonts w:ascii="Times New Roman" w:hAnsi="Times New Roman" w:cs="Times New Roman"/>
          <w:lang w:val="de-DE"/>
        </w:rPr>
        <w:t xml:space="preserve">Die Grundidee des Abends besteht deshalb darin, „Die Kommissarin“ in Karlshorst als Film jüdisch-sowjetischer Erinnerung zu rahmen: als Film über Krieg, aber ebenso über ein Leben unter Bedrohung, über prekäre Zugehörigkeit, über </w:t>
      </w:r>
      <w:proofErr w:type="spellStart"/>
      <w:r w:rsidRPr="00514EB5">
        <w:rPr>
          <w:rFonts w:ascii="Times New Roman" w:hAnsi="Times New Roman" w:cs="Times New Roman"/>
          <w:lang w:val="de-DE"/>
        </w:rPr>
        <w:t>Unsichtbarmachung</w:t>
      </w:r>
      <w:proofErr w:type="spellEnd"/>
      <w:r w:rsidRPr="00514EB5">
        <w:rPr>
          <w:rFonts w:ascii="Times New Roman" w:hAnsi="Times New Roman" w:cs="Times New Roman"/>
          <w:lang w:val="de-DE"/>
        </w:rPr>
        <w:t xml:space="preserve"> und über die verspätete Rückkehr verbotener Bilder in den öffentlichen Raum. So entsteht ein Format, das Film, jüdisch-sowjetische Geschichte und Erinnerung nicht nebeneinanderstellt, sondern bewusst aufeinander bezieht.</w:t>
      </w:r>
    </w:p>
    <w:p w14:paraId="278D79A3" w14:textId="77777777" w:rsidR="001C3575" w:rsidRPr="00E11F4A" w:rsidRDefault="001C3575" w:rsidP="00E11F4A">
      <w:pPr>
        <w:spacing w:line="360" w:lineRule="auto"/>
        <w:rPr>
          <w:rFonts w:ascii="Times New Roman" w:hAnsi="Times New Roman" w:cs="Times New Roman"/>
          <w:lang w:val="uk-UA"/>
        </w:rPr>
      </w:pPr>
    </w:p>
    <w:p w14:paraId="75B6093A" w14:textId="77777777" w:rsidR="001E2F5A" w:rsidRDefault="001E2F5A" w:rsidP="00E11F4A">
      <w:pPr>
        <w:spacing w:line="360" w:lineRule="auto"/>
        <w:jc w:val="center"/>
        <w:rPr>
          <w:rFonts w:ascii="Times New Roman" w:hAnsi="Times New Roman" w:cs="Times New Roman"/>
          <w:b/>
          <w:bCs/>
          <w:lang w:val="de-DE"/>
        </w:rPr>
      </w:pPr>
    </w:p>
    <w:p w14:paraId="20A1A795" w14:textId="638CF2E6" w:rsidR="001E2F5A" w:rsidRPr="00E11F4A" w:rsidRDefault="00E11F4A" w:rsidP="001E2F5A">
      <w:pPr>
        <w:spacing w:line="360" w:lineRule="auto"/>
        <w:jc w:val="center"/>
        <w:rPr>
          <w:rFonts w:ascii="Times New Roman" w:hAnsi="Times New Roman" w:cs="Times New Roman"/>
          <w:b/>
          <w:bCs/>
          <w:lang w:val="de-DE"/>
        </w:rPr>
      </w:pPr>
      <w:r w:rsidRPr="00E11F4A">
        <w:rPr>
          <w:rFonts w:ascii="Times New Roman" w:hAnsi="Times New Roman" w:cs="Times New Roman"/>
          <w:b/>
          <w:bCs/>
          <w:lang w:val="de-DE"/>
        </w:rPr>
        <w:lastRenderedPageBreak/>
        <w:t>Ablauf der Veranstaltung (schematisch)</w:t>
      </w:r>
    </w:p>
    <w:p w14:paraId="373DC373" w14:textId="77777777"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1. Ankommen und Begrüßung</w:t>
      </w:r>
      <w:r w:rsidRPr="00E11F4A">
        <w:rPr>
          <w:rFonts w:ascii="Times New Roman" w:hAnsi="Times New Roman" w:cs="Times New Roman"/>
          <w:lang w:val="de-DE"/>
        </w:rPr>
        <w:br/>
        <w:t>Treffpunkt vor dem Museum, kurze Einführung in das Format des Abends</w:t>
      </w:r>
    </w:p>
    <w:p w14:paraId="577FF23C" w14:textId="493C73D1"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2. Thematische Führung durch das Museum</w:t>
      </w:r>
      <w:r w:rsidRPr="00E11F4A">
        <w:rPr>
          <w:rFonts w:ascii="Times New Roman" w:hAnsi="Times New Roman" w:cs="Times New Roman"/>
          <w:lang w:val="de-DE"/>
        </w:rPr>
        <w:br/>
        <w:t>Aufteilung in zwei Gruppen</w:t>
      </w:r>
      <w:r w:rsidRPr="00E11F4A">
        <w:rPr>
          <w:rFonts w:ascii="Times New Roman" w:hAnsi="Times New Roman" w:cs="Times New Roman"/>
          <w:lang w:val="de-DE"/>
        </w:rPr>
        <w:br/>
        <w:t>Schwerpunkt: Karlshorst, Kapitulation, Vernichtungskrieg, jüdisch-sowjetische Erinnerung</w:t>
      </w:r>
      <w:r w:rsidR="001E2F5A">
        <w:rPr>
          <w:rFonts w:ascii="Times New Roman" w:hAnsi="Times New Roman" w:cs="Times New Roman"/>
          <w:lang w:val="de-DE"/>
        </w:rPr>
        <w:t xml:space="preserve"> (ca. 60-75 min) </w:t>
      </w:r>
    </w:p>
    <w:p w14:paraId="627CD15E" w14:textId="1CB10CAB"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3. Einführung zum Film</w:t>
      </w:r>
      <w:r w:rsidRPr="00E11F4A">
        <w:rPr>
          <w:rFonts w:ascii="Times New Roman" w:hAnsi="Times New Roman" w:cs="Times New Roman"/>
          <w:lang w:val="de-DE"/>
        </w:rPr>
        <w:br/>
        <w:t>Kurzer Vortrag zum historischen, literarischen und filmischen Kontext von „Die Kommissarin“</w:t>
      </w:r>
      <w:r w:rsidR="001E2F5A">
        <w:rPr>
          <w:rFonts w:ascii="Times New Roman" w:hAnsi="Times New Roman" w:cs="Times New Roman"/>
          <w:lang w:val="de-DE"/>
        </w:rPr>
        <w:t xml:space="preserve"> (20 min)</w:t>
      </w:r>
    </w:p>
    <w:p w14:paraId="697900BA" w14:textId="65CD9E91"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4. Filmvorführung</w:t>
      </w:r>
      <w:r w:rsidRPr="00E11F4A">
        <w:rPr>
          <w:rFonts w:ascii="Times New Roman" w:hAnsi="Times New Roman" w:cs="Times New Roman"/>
          <w:lang w:val="de-DE"/>
        </w:rPr>
        <w:br/>
        <w:t xml:space="preserve">Aleksandr </w:t>
      </w:r>
      <w:proofErr w:type="spellStart"/>
      <w:r w:rsidRPr="00E11F4A">
        <w:rPr>
          <w:rFonts w:ascii="Times New Roman" w:hAnsi="Times New Roman" w:cs="Times New Roman"/>
          <w:lang w:val="de-DE"/>
        </w:rPr>
        <w:t>Askoldovs</w:t>
      </w:r>
      <w:proofErr w:type="spellEnd"/>
      <w:r w:rsidRPr="00E11F4A">
        <w:rPr>
          <w:rFonts w:ascii="Times New Roman" w:hAnsi="Times New Roman" w:cs="Times New Roman"/>
          <w:lang w:val="de-DE"/>
        </w:rPr>
        <w:t xml:space="preserve"> „Die Kommissarin“ (104 min)</w:t>
      </w:r>
    </w:p>
    <w:p w14:paraId="621DC9E4" w14:textId="27C028BA"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5. Podiumsgespräch</w:t>
      </w:r>
      <w:r>
        <w:rPr>
          <w:rFonts w:ascii="Times New Roman" w:hAnsi="Times New Roman" w:cs="Times New Roman"/>
          <w:b/>
          <w:bCs/>
          <w:lang w:val="de-DE"/>
        </w:rPr>
        <w:t xml:space="preserve"> mit Irina </w:t>
      </w:r>
      <w:proofErr w:type="spellStart"/>
      <w:r>
        <w:rPr>
          <w:rFonts w:ascii="Times New Roman" w:hAnsi="Times New Roman" w:cs="Times New Roman"/>
          <w:b/>
          <w:bCs/>
          <w:lang w:val="de-DE"/>
        </w:rPr>
        <w:t>Sherbakova</w:t>
      </w:r>
      <w:proofErr w:type="spellEnd"/>
      <w:r>
        <w:rPr>
          <w:rFonts w:ascii="Times New Roman" w:hAnsi="Times New Roman" w:cs="Times New Roman"/>
          <w:b/>
          <w:bCs/>
          <w:lang w:val="de-DE"/>
        </w:rPr>
        <w:t xml:space="preserve"> und Victoria </w:t>
      </w:r>
      <w:proofErr w:type="spellStart"/>
      <w:r>
        <w:rPr>
          <w:rFonts w:ascii="Times New Roman" w:hAnsi="Times New Roman" w:cs="Times New Roman"/>
          <w:b/>
          <w:bCs/>
          <w:lang w:val="de-DE"/>
        </w:rPr>
        <w:t>Sukhovatova</w:t>
      </w:r>
      <w:proofErr w:type="spellEnd"/>
      <w:r>
        <w:rPr>
          <w:rFonts w:ascii="Times New Roman" w:hAnsi="Times New Roman" w:cs="Times New Roman"/>
          <w:b/>
          <w:bCs/>
          <w:lang w:val="de-DE"/>
        </w:rPr>
        <w:t xml:space="preserve"> (angefragt)</w:t>
      </w:r>
      <w:r w:rsidRPr="00E11F4A">
        <w:rPr>
          <w:rFonts w:ascii="Times New Roman" w:hAnsi="Times New Roman" w:cs="Times New Roman"/>
          <w:lang w:val="de-DE"/>
        </w:rPr>
        <w:br/>
        <w:t>Diskussion über Film, jüdisch-sowjetische Erfahrung, Pogromgewalt, Shoah und Erinnerungskultur</w:t>
      </w:r>
      <w:r w:rsidR="001E2F5A" w:rsidRPr="001E2F5A">
        <w:rPr>
          <w:rFonts w:ascii="Times New Roman" w:hAnsi="Times New Roman" w:cs="Times New Roman"/>
          <w:lang w:val="de-DE"/>
        </w:rPr>
        <w:t xml:space="preserve"> (45 </w:t>
      </w:r>
      <w:r w:rsidR="001E2F5A">
        <w:rPr>
          <w:rFonts w:ascii="Times New Roman" w:hAnsi="Times New Roman" w:cs="Times New Roman"/>
          <w:lang w:val="de-DE"/>
        </w:rPr>
        <w:t>min – 1 Stunde)</w:t>
      </w:r>
    </w:p>
    <w:p w14:paraId="2BD7265E" w14:textId="77777777" w:rsidR="00E11F4A" w:rsidRPr="00E11F4A" w:rsidRDefault="00E11F4A" w:rsidP="00E11F4A">
      <w:pPr>
        <w:spacing w:line="360" w:lineRule="auto"/>
        <w:rPr>
          <w:rFonts w:ascii="Times New Roman" w:hAnsi="Times New Roman" w:cs="Times New Roman"/>
          <w:lang w:val="de-DE"/>
        </w:rPr>
      </w:pPr>
      <w:r w:rsidRPr="00E11F4A">
        <w:rPr>
          <w:rFonts w:ascii="Times New Roman" w:hAnsi="Times New Roman" w:cs="Times New Roman"/>
          <w:b/>
          <w:bCs/>
          <w:lang w:val="de-DE"/>
        </w:rPr>
        <w:t>6. Offener Ausklang</w:t>
      </w:r>
      <w:r w:rsidRPr="00E11F4A">
        <w:rPr>
          <w:rFonts w:ascii="Times New Roman" w:hAnsi="Times New Roman" w:cs="Times New Roman"/>
          <w:lang w:val="de-DE"/>
        </w:rPr>
        <w:br/>
        <w:t>Raum für Nachfragen, informellen Austausch und Vernetzung</w:t>
      </w:r>
    </w:p>
    <w:p w14:paraId="60A35DA1" w14:textId="77777777" w:rsidR="00E11F4A" w:rsidRPr="00E11F4A" w:rsidRDefault="00E11F4A" w:rsidP="00514EB5">
      <w:pPr>
        <w:rPr>
          <w:lang w:val="de-DE"/>
        </w:rPr>
      </w:pPr>
    </w:p>
    <w:p w14:paraId="3B1CE170" w14:textId="77777777" w:rsidR="00E11F4A" w:rsidRPr="00E11F4A" w:rsidRDefault="00E11F4A" w:rsidP="00514EB5">
      <w:pPr>
        <w:rPr>
          <w:lang w:val="de-DE"/>
        </w:rPr>
      </w:pPr>
    </w:p>
    <w:sectPr w:rsidR="00E11F4A" w:rsidRPr="00E11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75"/>
    <w:rsid w:val="001C3575"/>
    <w:rsid w:val="001E2F5A"/>
    <w:rsid w:val="00514EB5"/>
    <w:rsid w:val="00762266"/>
    <w:rsid w:val="00E11F4A"/>
    <w:rsid w:val="00E606F2"/>
    <w:rsid w:val="00EB15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4C7B"/>
  <w15:chartTrackingRefBased/>
  <w15:docId w15:val="{4139F416-3A11-4EF5-8396-0904BD86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575"/>
    <w:rPr>
      <w:rFonts w:eastAsiaTheme="majorEastAsia" w:cstheme="majorBidi"/>
      <w:color w:val="272727" w:themeColor="text1" w:themeTint="D8"/>
    </w:rPr>
  </w:style>
  <w:style w:type="paragraph" w:styleId="Title">
    <w:name w:val="Title"/>
    <w:basedOn w:val="Normal"/>
    <w:next w:val="Normal"/>
    <w:link w:val="TitleChar"/>
    <w:uiPriority w:val="10"/>
    <w:qFormat/>
    <w:rsid w:val="001C3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575"/>
    <w:pPr>
      <w:spacing w:before="160"/>
      <w:jc w:val="center"/>
    </w:pPr>
    <w:rPr>
      <w:i/>
      <w:iCs/>
      <w:color w:val="404040" w:themeColor="text1" w:themeTint="BF"/>
    </w:rPr>
  </w:style>
  <w:style w:type="character" w:customStyle="1" w:styleId="QuoteChar">
    <w:name w:val="Quote Char"/>
    <w:basedOn w:val="DefaultParagraphFont"/>
    <w:link w:val="Quote"/>
    <w:uiPriority w:val="29"/>
    <w:rsid w:val="001C3575"/>
    <w:rPr>
      <w:i/>
      <w:iCs/>
      <w:color w:val="404040" w:themeColor="text1" w:themeTint="BF"/>
    </w:rPr>
  </w:style>
  <w:style w:type="paragraph" w:styleId="ListParagraph">
    <w:name w:val="List Paragraph"/>
    <w:basedOn w:val="Normal"/>
    <w:uiPriority w:val="34"/>
    <w:qFormat/>
    <w:rsid w:val="001C3575"/>
    <w:pPr>
      <w:ind w:left="720"/>
      <w:contextualSpacing/>
    </w:pPr>
  </w:style>
  <w:style w:type="character" w:styleId="IntenseEmphasis">
    <w:name w:val="Intense Emphasis"/>
    <w:basedOn w:val="DefaultParagraphFont"/>
    <w:uiPriority w:val="21"/>
    <w:qFormat/>
    <w:rsid w:val="001C3575"/>
    <w:rPr>
      <w:i/>
      <w:iCs/>
      <w:color w:val="0F4761" w:themeColor="accent1" w:themeShade="BF"/>
    </w:rPr>
  </w:style>
  <w:style w:type="paragraph" w:styleId="IntenseQuote">
    <w:name w:val="Intense Quote"/>
    <w:basedOn w:val="Normal"/>
    <w:next w:val="Normal"/>
    <w:link w:val="IntenseQuoteChar"/>
    <w:uiPriority w:val="30"/>
    <w:qFormat/>
    <w:rsid w:val="001C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575"/>
    <w:rPr>
      <w:i/>
      <w:iCs/>
      <w:color w:val="0F4761" w:themeColor="accent1" w:themeShade="BF"/>
    </w:rPr>
  </w:style>
  <w:style w:type="character" w:styleId="IntenseReference">
    <w:name w:val="Intense Reference"/>
    <w:basedOn w:val="DefaultParagraphFont"/>
    <w:uiPriority w:val="32"/>
    <w:qFormat/>
    <w:rsid w:val="001C3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896</Words>
  <Characters>5112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Iaroslav Bigun</dc:creator>
  <cp:keywords/>
  <dc:description/>
  <cp:lastModifiedBy>George Fejer</cp:lastModifiedBy>
  <cp:revision>2</cp:revision>
  <dcterms:created xsi:type="dcterms:W3CDTF">2026-03-12T14:25:00Z</dcterms:created>
  <dcterms:modified xsi:type="dcterms:W3CDTF">2026-03-12T14:25:00Z</dcterms:modified>
</cp:coreProperties>
</file>