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t xml:space="preserve">MEMORANDUM</w:t>
      </w:r>
    </w:p>
    <w:p>
      <w:pPr>
        <w:spacing w:after="40"/>
      </w:pPr>
      <w:r>
        <w:rPr>
          <w:b/>
          <w:bCs/>
          <w:sz w:val="21"/>
          <w:szCs w:val="21"/>
        </w:rPr>
        <w:t xml:space="preserve">To:  </w:t>
      </w:r>
      <w:r>
        <w:rPr>
          <w:sz w:val="21"/>
          <w:szCs w:val="21"/>
        </w:rPr>
        <w:t xml:space="preserve">Legal Department</w:t>
      </w:r>
    </w:p>
    <w:p>
      <w:pPr>
        <w:spacing w:after="40"/>
      </w:pPr>
      <w:r>
        <w:rPr>
          <w:b/>
          <w:bCs/>
          <w:sz w:val="21"/>
          <w:szCs w:val="21"/>
        </w:rPr>
        <w:t xml:space="preserve">From:  </w:t>
      </w:r>
      <w:r>
        <w:rPr>
          <w:sz w:val="21"/>
          <w:szCs w:val="21"/>
        </w:rPr>
        <w:t xml:space="preserve">Data, AI &amp; Analytics Strategy</w:t>
      </w:r>
    </w:p>
    <w:p>
      <w:pPr>
        <w:spacing w:after="40"/>
      </w:pPr>
      <w:r>
        <w:rPr>
          <w:b/>
          <w:bCs/>
          <w:sz w:val="21"/>
          <w:szCs w:val="21"/>
        </w:rPr>
        <w:t xml:space="preserve">Date:  </w:t>
      </w:r>
      <w:r>
        <w:rPr>
          <w:sz w:val="21"/>
          <w:szCs w:val="21"/>
        </w:rPr>
        <w:t xml:space="preserve">July 17, 2026</w:t>
      </w:r>
    </w:p>
    <w:p>
      <w:pPr>
        <w:spacing w:after="40"/>
      </w:pPr>
      <w:r>
        <w:rPr>
          <w:b/>
          <w:bCs/>
          <w:sz w:val="21"/>
          <w:szCs w:val="21"/>
        </w:rPr>
        <w:t xml:space="preserve">Re:  </w:t>
      </w:r>
      <w:r>
        <w:rPr>
          <w:sz w:val="21"/>
          <w:szCs w:val="21"/>
        </w:rPr>
        <w:t xml:space="preserve">Legal Review Framework — Cross-Institution Data, AI &amp; ML Product Strategy</w:t>
      </w:r>
    </w:p>
    <w:p>
      <w:pPr>
        <w:pBdr>
          <w:top w:val="single" w:color="1F3864" w:sz="6" w:space="4"/>
          <w:bottom w:val="single" w:color="1F3864" w:sz="6" w:space="4"/>
        </w:pBdr>
        <w:spacing w:after="200" w:before="200"/>
      </w:pPr>
      <w:r>
        <w:t xml:space="preserve"/>
      </w:r>
    </w:p>
    <w:p>
      <w:pPr>
        <w:pBdr>
          <w:left w:val="single" w:color="1F3864" w:sz="12" w:space="8"/>
        </w:pBdr>
        <w:shd w:fill="F2F2F2" w:color="auto" w:val="clear"/>
        <w:spacing w:after="100"/>
      </w:pPr>
      <w:r>
        <w:rPr>
          <w:i/>
          <w:iCs/>
          <w:color w:val="595959"/>
          <w:sz w:val="20"/>
          <w:szCs w:val="20"/>
        </w:rPr>
        <w:t xml:space="preserve">This memo is prepared by the business to frame an opportunity and surface the legal questions we'd like your team's guidance on. </w:t>
      </w:r>
      <w:r>
        <w:rPr>
          <w:b/>
          <w:bCs/>
          <w:i/>
          <w:iCs/>
          <w:color w:val="595959"/>
          <w:sz w:val="20"/>
          <w:szCs w:val="20"/>
        </w:rPr>
        <w:t xml:space="preserve">It is not a legal opinion and nothing in it should be treated as legal advice or a final position</w:t>
      </w:r>
      <w:r>
        <w:rPr>
          <w:i/>
          <w:iCs/>
          <w:color w:val="595959"/>
          <w:sz w:val="20"/>
          <w:szCs w:val="20"/>
        </w:rPr>
        <w:t xml:space="preserve"> — that determination rests with Legal and Compliance. See Section 10.</w:t>
      </w:r>
    </w:p>
    <w:p>
      <w:pPr>
        <w:spacing w:after="300" w:before="300"/>
      </w:pPr>
      <w:sdt>
        <w:sdtPr>
          <w:alias w:val="Table of Contents"/>
        </w:sdtPr>
        <w:sdtContent>
          <w:p>
            <w:r>
              <w:fldChar w:fldCharType="begin" w:dirty="true"/>
              <w:instrText xml:space="preserve">TOC \h \o "1-2"</w:instrText>
              <w:fldChar w:fldCharType="separate"/>
            </w:r>
          </w:p>
          <w:p>
            <w:r>
              <w:fldChar w:fldCharType="end"/>
            </w:r>
          </w:p>
        </w:sdtContent>
      </w:sdt>
    </w:p>
    <w:p>
      <w:r>
        <w:br w:type="page"/>
      </w:r>
    </w:p>
    <w:p>
      <w:pPr>
        <w:pStyle w:val="Heading1"/>
        <w:spacing w:after="140" w:before="320"/>
      </w:pPr>
      <w:r>
        <w:t xml:space="preserve">1. Purpose</w:t>
      </w:r>
    </w:p>
    <w:p>
      <w:pPr>
        <w:spacing w:after="140"/>
        <w:jc w:val="both"/>
      </w:pPr>
      <w:r>
        <w:rPr>
          <w:sz w:val="21"/>
          <w:szCs w:val="21"/>
        </w:rPr>
        <w:t xml:space="preserve">This memo lays out the business case for a cross-institution data, AI, and ML product strategy, the operating principles we believe reduce legal exposure, and the specific use cases we'd like to build. For each use case we flag the legal frameworks and open questions we'd like Legal's guidance on before we commit engineering investment.</w:t>
      </w:r>
    </w:p>
    <w:p>
      <w:pPr>
        <w:pStyle w:val="Heading1"/>
        <w:spacing w:after="140" w:before="320"/>
      </w:pPr>
      <w:r>
        <w:t xml:space="preserve">2. The Opportunity</w:t>
      </w:r>
    </w:p>
    <w:p>
      <w:pPr>
        <w:spacing w:after="140"/>
        <w:jc w:val="both"/>
      </w:pPr>
      <w:r>
        <w:rPr>
          <w:sz w:val="21"/>
          <w:szCs w:val="21"/>
        </w:rPr>
        <w:t xml:space="preserve">Jack Henry sits at the center of a uniquely broad, multi-institution data footprint: processing relationships with roughly 21% of U.S. community banks and 12% of credit unions, plus thousands of payments clients.</w:t>
      </w:r>
    </w:p>
    <w:p>
      <w:pPr>
        <w:spacing w:after="160"/>
      </w:pPr>
      <w:r>
        <w:rPr>
          <w:i/>
          <w:iCs/>
          <w:color w:val="595959"/>
          <w:sz w:val="18"/>
          <w:szCs w:val="18"/>
        </w:rPr>
        <w:t xml:space="preserve">Figures per internal business/market estimates — recommend confirming current share with Strategy/Finance before this memo or any derivative is used externally.</w:t>
      </w:r>
    </w:p>
    <w:p>
      <w:pPr>
        <w:spacing w:after="140"/>
        <w:jc w:val="both"/>
      </w:pPr>
      <w:r>
        <w:rPr>
          <w:sz w:val="21"/>
          <w:szCs w:val="21"/>
        </w:rPr>
        <w:t xml:space="preserve">No single community bank or credit union sees enough transaction volume, account behavior, or fraud pattern data on its own to build statistically robust benchmarks, risk models, or ML products. Jack Henry, uniquely, sits across thousands of institutions simultaneously.</w:t>
      </w:r>
    </w:p>
    <w:p>
      <w:pPr>
        <w:spacing w:after="140"/>
        <w:jc w:val="both"/>
      </w:pPr>
      <w:r>
        <w:rPr>
          <w:sz w:val="21"/>
          <w:szCs w:val="21"/>
        </w:rPr>
        <w:t xml:space="preserve">Our thesis: a cross-institution data lake is close to table stakes for any multi-institution processor at our scale. The real differentiation is in what we build on top of it — benchmarking indices, fraud and risk signals, and ML-driven insight products that only work because of the network effect of pooled, cross-institution data.</w:t>
      </w:r>
    </w:p>
    <w:p>
      <w:pPr>
        <w:pStyle w:val="Heading1"/>
        <w:spacing w:after="140" w:before="320"/>
      </w:pPr>
      <w:r>
        <w:t xml:space="preserve">3. Core Operating Principle: Derived Outputs, Not Raw Data</w:t>
      </w:r>
    </w:p>
    <w:p>
      <w:pPr>
        <w:spacing w:after="140"/>
        <w:jc w:val="both"/>
      </w:pPr>
      <w:r>
        <w:rPr>
          <w:sz w:val="21"/>
          <w:szCs w:val="21"/>
        </w:rPr>
        <w:t xml:space="preserve">To capture this opportunity while minimizing legal and regulatory exposure, our proposed operating model rests on three constraints, applied to every product idea in this memo:</w:t>
      </w:r>
    </w:p>
    <w:p>
      <w:pPr>
        <w:pStyle w:val="ListParagraph"/>
        <w:numPr>
          <w:ilvl w:val="0"/>
          <w:numId w:val="2"/>
        </w:numPr>
        <w:spacing w:after="80"/>
      </w:pPr>
      <w:r>
        <w:rPr>
          <w:sz w:val="21"/>
          <w:szCs w:val="21"/>
        </w:rPr>
        <w:t xml:space="preserve">We deliver derived outputs — scores, insights, indices, benchmarks — not raw personally identifiable information (PII). Underlying customer-level PII is not repackaged or resold as such; it is transformed into a statistical or model output before it leaves our processing environment.</w:t>
      </w:r>
    </w:p>
    <w:p>
      <w:pPr>
        <w:pStyle w:val="ListParagraph"/>
        <w:numPr>
          <w:ilvl w:val="0"/>
          <w:numId w:val="2"/>
        </w:numPr>
        <w:spacing w:after="80"/>
      </w:pPr>
      <w:r>
        <w:rPr>
          <w:sz w:val="21"/>
          <w:szCs w:val="21"/>
        </w:rPr>
        <w:t xml:space="preserve">Each financial institution (FI) client retains control of its own customer relationship and its own customers' data. We are not disintermediating the FI or creating a direct relationship with the end consumer.</w:t>
      </w:r>
    </w:p>
    <w:p>
      <w:pPr>
        <w:pStyle w:val="ListParagraph"/>
        <w:numPr>
          <w:ilvl w:val="0"/>
          <w:numId w:val="2"/>
        </w:numPr>
        <w:spacing w:after="80"/>
      </w:pPr>
      <w:r>
        <w:rPr>
          <w:sz w:val="21"/>
          <w:szCs w:val="21"/>
        </w:rPr>
        <w:t xml:space="preserve">We continue to operate as a processing/service provider to our FI clients, not as an independent data controller, furnisher, or reseller of consumer data in our own right.</w:t>
      </w:r>
    </w:p>
    <w:p>
      <w:pPr>
        <w:spacing w:after="140"/>
        <w:jc w:val="both"/>
      </w:pPr>
      <w:r>
        <w:rPr>
          <w:sz w:val="21"/>
          <w:szCs w:val="21"/>
        </w:rPr>
        <w:t xml:space="preserve">We believe this model is directionally sound, but “derived output” is not a bright line. Regulators and courts have found that de-identified, aggregated, or model-output data can still trigger obligations under FCRA, state privacy/data-broker law, and GLBA depending on how the output is used and by whom. Section 7 flags where that line is likely to matter most.</w:t>
      </w:r>
    </w:p>
    <w:p>
      <w:pPr>
        <w:pStyle w:val="Heading1"/>
        <w:spacing w:after="140" w:before="320"/>
      </w:pPr>
      <w:r>
        <w:t xml:space="preserve">4. Proposed Risk-Tiering Framework</w:t>
      </w:r>
    </w:p>
    <w:p>
      <w:pPr>
        <w:spacing w:after="140"/>
        <w:jc w:val="both"/>
      </w:pPr>
      <w:r>
        <w:rPr>
          <w:sz w:val="21"/>
          <w:szCs w:val="21"/>
        </w:rPr>
        <w:t xml:space="preserve">We'd like to propose the following tiering as a common intake framework for evaluating new product ideas going forward, so each new idea doesn't require re-litigating first principles with Legal.</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200"/>
        <w:gridCol w:w="3160"/>
      </w:tblGrid>
      <w:tr>
        <w:trPr>
          <w:tblHeader/>
        </w:trPr>
        <w:tc>
          <w:tcPr>
            <w:tcW w:type="dxa" w:w="1400"/>
            <w:shd w:fill="1F3864" w:color="auto" w:val="clear"/>
            <w:tcMar>
              <w:top w:type="dxa" w:w="80"/>
              <w:left w:type="dxa" w:w="100"/>
              <w:bottom w:type="dxa" w:w="80"/>
              <w:right w:type="dxa" w:w="100"/>
            </w:tcMar>
            <w:vAlign w:val="top"/>
          </w:tcPr>
          <w:p>
            <w:r>
              <w:rPr>
                <w:b/>
                <w:bCs/>
                <w:color w:val="FFFFFF"/>
                <w:sz w:val="19"/>
                <w:szCs w:val="19"/>
              </w:rPr>
              <w:t xml:space="preserve">Tier</w:t>
            </w:r>
          </w:p>
        </w:tc>
        <w:tc>
          <w:tcPr>
            <w:tcW w:type="dxa" w:w="3200"/>
            <w:shd w:fill="1F3864" w:color="auto" w:val="clear"/>
            <w:tcMar>
              <w:top w:type="dxa" w:w="80"/>
              <w:left w:type="dxa" w:w="100"/>
              <w:bottom w:type="dxa" w:w="80"/>
              <w:right w:type="dxa" w:w="100"/>
            </w:tcMar>
            <w:vAlign w:val="top"/>
          </w:tcPr>
          <w:p>
            <w:r>
              <w:rPr>
                <w:b/>
                <w:bCs/>
                <w:color w:val="FFFFFF"/>
                <w:sz w:val="19"/>
                <w:szCs w:val="19"/>
              </w:rPr>
              <w:t xml:space="preserve">Definition</w:t>
            </w:r>
          </w:p>
        </w:tc>
        <w:tc>
          <w:tcPr>
            <w:tcW w:type="dxa" w:w="3200"/>
            <w:shd w:fill="1F3864" w:color="auto" w:val="clear"/>
            <w:tcMar>
              <w:top w:type="dxa" w:w="80"/>
              <w:left w:type="dxa" w:w="100"/>
              <w:bottom w:type="dxa" w:w="80"/>
              <w:right w:type="dxa" w:w="100"/>
            </w:tcMar>
            <w:vAlign w:val="top"/>
          </w:tcPr>
          <w:p>
            <w:r>
              <w:rPr>
                <w:b/>
                <w:bCs/>
                <w:color w:val="FFFFFF"/>
                <w:sz w:val="19"/>
                <w:szCs w:val="19"/>
              </w:rPr>
              <w:t xml:space="preserve">Example</w:t>
            </w:r>
          </w:p>
        </w:tc>
        <w:tc>
          <w:tcPr>
            <w:tcW w:type="dxa" w:w="3160"/>
            <w:shd w:fill="1F3864" w:color="auto" w:val="clear"/>
            <w:tcMar>
              <w:top w:type="dxa" w:w="80"/>
              <w:left w:type="dxa" w:w="100"/>
              <w:bottom w:type="dxa" w:w="80"/>
              <w:right w:type="dxa" w:w="100"/>
            </w:tcMar>
            <w:vAlign w:val="top"/>
          </w:tcPr>
          <w:p>
            <w:r>
              <w:rPr>
                <w:b/>
                <w:bCs/>
                <w:color w:val="FFFFFF"/>
                <w:sz w:val="19"/>
                <w:szCs w:val="19"/>
              </w:rPr>
              <w:t xml:space="preserve">Baseline Legal Posture</w:t>
            </w:r>
          </w:p>
        </w:tc>
      </w:tr>
      <w:tr>
        <w:tc>
          <w:tcPr>
            <w:tcW w:type="dxa" w:w="1400"/>
            <w:tcMar>
              <w:top w:type="dxa" w:w="80"/>
              <w:left w:type="dxa" w:w="100"/>
              <w:bottom w:type="dxa" w:w="80"/>
              <w:right w:type="dxa" w:w="100"/>
            </w:tcMar>
            <w:vAlign w:val="top"/>
          </w:tcPr>
          <w:p>
            <w:r>
              <w:rPr>
                <w:b w:val="false"/>
                <w:bCs w:val="false"/>
                <w:color w:val="000000"/>
                <w:sz w:val="19"/>
                <w:szCs w:val="19"/>
              </w:rPr>
              <w:t xml:space="preserve">Tier 1 — Aggregated / Statistical</w:t>
            </w:r>
          </w:p>
        </w:tc>
        <w:tc>
          <w:tcPr>
            <w:tcW w:type="dxa" w:w="3200"/>
            <w:tcMar>
              <w:top w:type="dxa" w:w="80"/>
              <w:left w:type="dxa" w:w="100"/>
              <w:bottom w:type="dxa" w:w="80"/>
              <w:right w:type="dxa" w:w="100"/>
            </w:tcMar>
            <w:vAlign w:val="top"/>
          </w:tcPr>
          <w:p>
            <w:r>
              <w:rPr>
                <w:b w:val="false"/>
                <w:bCs w:val="false"/>
                <w:color w:val="000000"/>
                <w:sz w:val="19"/>
                <w:szCs w:val="19"/>
              </w:rPr>
              <w:t xml:space="preserve">Outputs reflect patterns across many institutions/consumers; no single FI or consumer result is exposed.</w:t>
            </w:r>
          </w:p>
        </w:tc>
        <w:tc>
          <w:tcPr>
            <w:tcW w:type="dxa" w:w="3200"/>
            <w:tcMar>
              <w:top w:type="dxa" w:w="80"/>
              <w:left w:type="dxa" w:w="100"/>
              <w:bottom w:type="dxa" w:w="80"/>
              <w:right w:type="dxa" w:w="100"/>
            </w:tcMar>
            <w:vAlign w:val="top"/>
          </w:tcPr>
          <w:p>
            <w:r>
              <w:rPr>
                <w:b w:val="false"/>
                <w:bCs w:val="false"/>
                <w:color w:val="000000"/>
                <w:sz w:val="19"/>
                <w:szCs w:val="19"/>
              </w:rPr>
              <w:t xml:space="preserve">“Average small-business deposit growth in the Southeast, Q2 2026.”</w:t>
            </w:r>
          </w:p>
        </w:tc>
        <w:tc>
          <w:tcPr>
            <w:tcW w:type="dxa" w:w="3160"/>
            <w:tcMar>
              <w:top w:type="dxa" w:w="80"/>
              <w:left w:type="dxa" w:w="100"/>
              <w:bottom w:type="dxa" w:w="80"/>
              <w:right w:type="dxa" w:w="100"/>
            </w:tcMar>
            <w:vAlign w:val="top"/>
          </w:tcPr>
          <w:p>
            <w:r>
              <w:rPr>
                <w:b w:val="false"/>
                <w:bCs w:val="false"/>
                <w:color w:val="000000"/>
                <w:sz w:val="19"/>
                <w:szCs w:val="19"/>
              </w:rPr>
              <w:t xml:space="preserve">Lowest inherent risk; still subject to state data-broker analysis if sold/licensed to third parties.</w:t>
            </w:r>
          </w:p>
        </w:tc>
      </w:tr>
      <w:tr>
        <w:tc>
          <w:tcPr>
            <w:tcW w:type="dxa" w:w="1400"/>
            <w:shd w:fill="DCE6F1" w:color="auto" w:val="clear"/>
            <w:tcMar>
              <w:top w:type="dxa" w:w="80"/>
              <w:left w:type="dxa" w:w="100"/>
              <w:bottom w:type="dxa" w:w="80"/>
              <w:right w:type="dxa" w:w="100"/>
            </w:tcMar>
            <w:vAlign w:val="top"/>
          </w:tcPr>
          <w:p>
            <w:r>
              <w:rPr>
                <w:b w:val="false"/>
                <w:bCs w:val="false"/>
                <w:color w:val="000000"/>
                <w:sz w:val="19"/>
                <w:szCs w:val="19"/>
              </w:rPr>
              <w:t xml:space="preserve">Tier 2 — FI-Specific Derived Score/Insight</w:t>
            </w:r>
          </w:p>
        </w:tc>
        <w:tc>
          <w:tcPr>
            <w:tcW w:type="dxa" w:w="3200"/>
            <w:shd w:fill="DCE6F1" w:color="auto" w:val="clear"/>
            <w:tcMar>
              <w:top w:type="dxa" w:w="80"/>
              <w:left w:type="dxa" w:w="100"/>
              <w:bottom w:type="dxa" w:w="80"/>
              <w:right w:type="dxa" w:w="100"/>
            </w:tcMar>
            <w:vAlign w:val="top"/>
          </w:tcPr>
          <w:p>
            <w:r>
              <w:rPr>
                <w:b w:val="false"/>
                <w:bCs w:val="false"/>
                <w:color w:val="000000"/>
                <w:sz w:val="19"/>
                <w:szCs w:val="19"/>
              </w:rPr>
              <w:t xml:space="preserve">Output is specific to one FI's book of business or one consumer within that FI, but is a score/insight/flag, not raw underlying data.</w:t>
            </w:r>
          </w:p>
        </w:tc>
        <w:tc>
          <w:tcPr>
            <w:tcW w:type="dxa" w:w="3200"/>
            <w:shd w:fill="DCE6F1" w:color="auto" w:val="clear"/>
            <w:tcMar>
              <w:top w:type="dxa" w:w="80"/>
              <w:left w:type="dxa" w:w="100"/>
              <w:bottom w:type="dxa" w:w="80"/>
              <w:right w:type="dxa" w:w="100"/>
            </w:tcMar>
            <w:vAlign w:val="top"/>
          </w:tcPr>
          <w:p>
            <w:r>
              <w:rPr>
                <w:b w:val="false"/>
                <w:bCs w:val="false"/>
                <w:color w:val="000000"/>
                <w:sz w:val="19"/>
                <w:szCs w:val="19"/>
              </w:rPr>
              <w:t xml:space="preserve">A churn-risk score for Bank A's customers; a fraud-risk flag.</w:t>
            </w:r>
          </w:p>
        </w:tc>
        <w:tc>
          <w:tcPr>
            <w:tcW w:type="dxa" w:w="3160"/>
            <w:shd w:fill="DCE6F1" w:color="auto" w:val="clear"/>
            <w:tcMar>
              <w:top w:type="dxa" w:w="80"/>
              <w:left w:type="dxa" w:w="100"/>
              <w:bottom w:type="dxa" w:w="80"/>
              <w:right w:type="dxa" w:w="100"/>
            </w:tcMar>
            <w:vAlign w:val="top"/>
          </w:tcPr>
          <w:p>
            <w:r>
              <w:rPr>
                <w:b w:val="false"/>
                <w:bCs w:val="false"/>
                <w:color w:val="000000"/>
                <w:sz w:val="19"/>
                <w:szCs w:val="19"/>
              </w:rPr>
              <w:t xml:space="preserve">Moderate risk — delivered only to the supplying FI (or a permissioned peer set); FCRA “consumer report” and GLBA permissible-use analysis both apply.</w:t>
            </w:r>
          </w:p>
        </w:tc>
      </w:tr>
      <w:tr>
        <w:tc>
          <w:tcPr>
            <w:tcW w:type="dxa" w:w="1400"/>
            <w:tcMar>
              <w:top w:type="dxa" w:w="80"/>
              <w:left w:type="dxa" w:w="100"/>
              <w:bottom w:type="dxa" w:w="80"/>
              <w:right w:type="dxa" w:w="100"/>
            </w:tcMar>
            <w:vAlign w:val="top"/>
          </w:tcPr>
          <w:p>
            <w:r>
              <w:rPr>
                <w:b w:val="false"/>
                <w:bCs w:val="false"/>
                <w:color w:val="000000"/>
                <w:sz w:val="19"/>
                <w:szCs w:val="19"/>
              </w:rPr>
              <w:t xml:space="preserve">Tier 3 — Individual-Level Identity/PII Data Services</w:t>
            </w:r>
          </w:p>
        </w:tc>
        <w:tc>
          <w:tcPr>
            <w:tcW w:type="dxa" w:w="3200"/>
            <w:tcMar>
              <w:top w:type="dxa" w:w="80"/>
              <w:left w:type="dxa" w:w="100"/>
              <w:bottom w:type="dxa" w:w="80"/>
              <w:right w:type="dxa" w:w="100"/>
            </w:tcMar>
            <w:vAlign w:val="top"/>
          </w:tcPr>
          <w:p>
            <w:r>
              <w:rPr>
                <w:b w:val="false"/>
                <w:bCs w:val="false"/>
                <w:color w:val="000000"/>
                <w:sz w:val="19"/>
                <w:szCs w:val="19"/>
              </w:rPr>
              <w:t xml:space="preserve">Services operating directly on individual-level identifiers (email, phone, address, name, DOB) for matching/resolution, even if the output is a match/no-match flag.</w:t>
            </w:r>
          </w:p>
        </w:tc>
        <w:tc>
          <w:tcPr>
            <w:tcW w:type="dxa" w:w="3200"/>
            <w:tcMar>
              <w:top w:type="dxa" w:w="80"/>
              <w:left w:type="dxa" w:w="100"/>
              <w:bottom w:type="dxa" w:w="80"/>
              <w:right w:type="dxa" w:w="100"/>
            </w:tcMar>
            <w:vAlign w:val="top"/>
          </w:tcPr>
          <w:p>
            <w:r>
              <w:rPr>
                <w:b w:val="false"/>
                <w:bCs w:val="false"/>
                <w:color w:val="000000"/>
                <w:sz w:val="19"/>
                <w:szCs w:val="19"/>
              </w:rPr>
              <w:t xml:space="preserve">Cross-institution identity resolution for KYC/fraud prevention.</w:t>
            </w:r>
          </w:p>
        </w:tc>
        <w:tc>
          <w:tcPr>
            <w:tcW w:type="dxa" w:w="3160"/>
            <w:tcMar>
              <w:top w:type="dxa" w:w="80"/>
              <w:left w:type="dxa" w:w="100"/>
              <w:bottom w:type="dxa" w:w="80"/>
              <w:right w:type="dxa" w:w="100"/>
            </w:tcMar>
            <w:vAlign w:val="top"/>
          </w:tcPr>
          <w:p>
            <w:r>
              <w:rPr>
                <w:b w:val="false"/>
                <w:bCs w:val="false"/>
                <w:color w:val="000000"/>
                <w:sz w:val="19"/>
                <w:szCs w:val="19"/>
              </w:rPr>
              <w:t xml:space="preserve">Highest inherent risk; treat as processing of NPI/PII requiring full GLBA, state privacy, and (where applicable) FCRA analysis regardless of output format.</w:t>
            </w:r>
          </w:p>
        </w:tc>
      </w:tr>
    </w:tbl>
    <w:p>
      <w:pPr>
        <w:pStyle w:val="Heading1"/>
        <w:spacing w:after="140" w:before="320"/>
      </w:pPr>
      <w:r>
        <w:t xml:space="preserve">5. Use Case Deep Dives</w:t>
      </w:r>
    </w:p>
    <w:p>
      <w:pPr>
        <w:pStyle w:val="Heading2"/>
        <w:spacing w:after="100" w:before="220"/>
      </w:pPr>
      <w:r>
        <w:t xml:space="preserve">5.1  Benchmarking &amp; Indices  (Tier 1, generally)</w:t>
      </w:r>
    </w:p>
    <w:p>
      <w:pPr>
        <w:spacing w:after="80"/>
      </w:pPr>
      <w:r>
        <w:rPr>
          <w:b/>
          <w:bCs/>
          <w:sz w:val="21"/>
          <w:szCs w:val="21"/>
        </w:rPr>
        <w:t xml:space="preserve">What it is: </w:t>
      </w:r>
      <w:r>
        <w:rPr>
          <w:sz w:val="21"/>
          <w:szCs w:val="21"/>
        </w:rPr>
        <w:t xml:space="preserve">Cross-institution aggregation to produce indices/benchmarks (e.g., deposit-flow trends, loan growth by region/asset size, small-business health indices) that FIs, and possibly external subscribers (analysts, media, regulators), use for comparative context.</w:t>
      </w:r>
    </w:p>
    <w:p>
      <w:pPr>
        <w:spacing w:after="80"/>
      </w:pPr>
      <w:r>
        <w:rPr>
          <w:b/>
          <w:bCs/>
          <w:sz w:val="21"/>
          <w:szCs w:val="21"/>
        </w:rPr>
        <w:t xml:space="preserve">Why lower risk by design: </w:t>
      </w:r>
      <w:r>
        <w:rPr>
          <w:sz w:val="21"/>
          <w:szCs w:val="21"/>
        </w:rPr>
        <w:t xml:space="preserve">No single FI or consumer is identifiable in the output if aggregation thresholds (minimum-n, top/bottom coding, noise injection) are properly applied.</w:t>
      </w:r>
    </w:p>
    <w:p>
      <w:pPr>
        <w:spacing w:after="80"/>
      </w:pPr>
      <w:r>
        <w:rPr>
          <w:b/>
          <w:bCs/>
          <w:sz w:val="21"/>
          <w:szCs w:val="21"/>
        </w:rPr>
        <w:t xml:space="preserve">Legal questions: </w:t>
      </w:r>
      <w:r>
        <w:rPr>
          <w:sz w:val="21"/>
          <w:szCs w:val="21"/>
        </w:rPr>
        <w:t xml:space="preserve"/>
      </w:r>
    </w:p>
    <w:p>
      <w:pPr>
        <w:pStyle w:val="ListParagraph"/>
        <w:numPr>
          <w:ilvl w:val="0"/>
          <w:numId w:val="2"/>
        </w:numPr>
        <w:spacing w:after="80"/>
      </w:pPr>
      <w:r>
        <w:rPr>
          <w:sz w:val="21"/>
          <w:szCs w:val="21"/>
        </w:rPr>
        <w:t xml:space="preserve">At what aggregation threshold (minimum number of contributing institutions/consumers) do we consider an index “non-attributable”? Who signs off on that methodology?</w:t>
      </w:r>
    </w:p>
    <w:p>
      <w:pPr>
        <w:pStyle w:val="ListParagraph"/>
        <w:numPr>
          <w:ilvl w:val="0"/>
          <w:numId w:val="2"/>
        </w:numPr>
        <w:spacing w:after="80"/>
      </w:pPr>
      <w:r>
        <w:rPr>
          <w:sz w:val="21"/>
          <w:szCs w:val="21"/>
        </w:rPr>
        <w:t xml:space="preserve">If we license or sell these indices to third parties outside our processing relationship (e.g., to research firms or media), do we become a “data broker” under CA/VT/TX/OR law, given we did not collect the underlying data directly from consumers?</w:t>
      </w:r>
    </w:p>
    <w:p>
      <w:pPr>
        <w:pStyle w:val="ListParagraph"/>
        <w:numPr>
          <w:ilvl w:val="0"/>
          <w:numId w:val="2"/>
        </w:numPr>
        <w:spacing w:after="80"/>
      </w:pPr>
      <w:r>
        <w:rPr>
          <w:sz w:val="21"/>
          <w:szCs w:val="21"/>
        </w:rPr>
        <w:t xml:space="preserve">Do our FI client contracts currently authorize this secondary use of aggregated data, or does contract language need updating?</w:t>
      </w:r>
    </w:p>
    <w:p>
      <w:pPr>
        <w:pStyle w:val="Heading2"/>
        <w:spacing w:after="100" w:before="220"/>
      </w:pPr>
      <w:r>
        <w:t xml:space="preserve">5.2  Fraud, Risk &amp; Compliance Signals  (Tier 2, generally)</w:t>
      </w:r>
    </w:p>
    <w:p>
      <w:pPr>
        <w:spacing w:after="80"/>
      </w:pPr>
      <w:r>
        <w:rPr>
          <w:b/>
          <w:bCs/>
          <w:sz w:val="21"/>
          <w:szCs w:val="21"/>
        </w:rPr>
        <w:t xml:space="preserve">What it is: </w:t>
      </w:r>
      <w:r>
        <w:rPr>
          <w:sz w:val="21"/>
          <w:szCs w:val="21"/>
        </w:rPr>
        <w:t xml:space="preserve">Cross-institution fraud-pattern detection (e.g., a bad-actor or mule-account signal seen at Bank A surfaced as a risk flag to Bank B), AML/BSA-adjacent anomaly detection, and cross-institution risk scoring.</w:t>
      </w:r>
    </w:p>
    <w:p>
      <w:pPr>
        <w:spacing w:after="80"/>
      </w:pPr>
      <w:r>
        <w:rPr>
          <w:b/>
          <w:bCs/>
          <w:sz w:val="21"/>
          <w:szCs w:val="21"/>
        </w:rPr>
        <w:t xml:space="preserve">Why valuable: </w:t>
      </w:r>
      <w:r>
        <w:rPr>
          <w:sz w:val="21"/>
          <w:szCs w:val="21"/>
        </w:rPr>
        <w:t xml:space="preserve">Fraud rings and mule networks operate across institutions; no single FI sees the whole pattern. This is arguably our strongest network-effect use case.</w:t>
      </w:r>
    </w:p>
    <w:p>
      <w:pPr>
        <w:spacing w:after="80"/>
      </w:pPr>
      <w:r>
        <w:rPr>
          <w:b/>
          <w:bCs/>
          <w:sz w:val="21"/>
          <w:szCs w:val="21"/>
        </w:rPr>
        <w:t xml:space="preserve">Legal questions: </w:t>
      </w:r>
      <w:r>
        <w:rPr>
          <w:sz w:val="21"/>
          <w:szCs w:val="21"/>
        </w:rPr>
        <w:t xml:space="preserve"/>
      </w:r>
    </w:p>
    <w:p>
      <w:pPr>
        <w:pStyle w:val="ListParagraph"/>
        <w:numPr>
          <w:ilvl w:val="0"/>
          <w:numId w:val="2"/>
        </w:numPr>
        <w:spacing w:after="80"/>
      </w:pPr>
      <w:r>
        <w:rPr>
          <w:sz w:val="21"/>
          <w:szCs w:val="21"/>
        </w:rPr>
        <w:t xml:space="preserve">Is a cross-institution fraud flag a “consumer report” under FCRA if it could be used, even informally, as a factor in an account-opening or transaction decision? The eligibility-purpose test turns on end use, not on how we label the output — we need Legal's read on where fraud/AML flags fall.</w:t>
      </w:r>
    </w:p>
    <w:p>
      <w:pPr>
        <w:pStyle w:val="ListParagraph"/>
        <w:numPr>
          <w:ilvl w:val="0"/>
          <w:numId w:val="2"/>
        </w:numPr>
        <w:spacing w:after="80"/>
      </w:pPr>
      <w:r>
        <w:rPr>
          <w:sz w:val="21"/>
          <w:szCs w:val="21"/>
        </w:rPr>
        <w:t xml:space="preserve">Does sharing a risk signal derived from Bank A's data with Bank B require Bank A's consent under GLBA's Privacy Rule (Reg P) notice/opt-out framework, or does an exception apply (e.g., the fraud-prevention exception)?</w:t>
      </w:r>
    </w:p>
    <w:p>
      <w:pPr>
        <w:pStyle w:val="ListParagraph"/>
        <w:numPr>
          <w:ilvl w:val="0"/>
          <w:numId w:val="2"/>
        </w:numPr>
        <w:spacing w:after="80"/>
      </w:pPr>
      <w:r>
        <w:rPr>
          <w:sz w:val="21"/>
          <w:szCs w:val="21"/>
        </w:rPr>
        <w:t xml:space="preserve">What contractual and audit rights do we need given the interagency third-party risk guidance (OCC/FDIC/Federal Reserve, final June 2023), which covers the full vendor lifecycle — due diligence, contracting, ongoing monitoring — and explicitly flags concentration risk for banks relying heavily on a single processor?</w:t>
      </w:r>
    </w:p>
    <w:p>
      <w:pPr>
        <w:pStyle w:val="Heading2"/>
        <w:spacing w:after="100" w:before="220"/>
      </w:pPr>
      <w:r>
        <w:t xml:space="preserve">5.3  Revenue &amp; Growth Data Science — Churn, Cross-Sell, Product Propensity  (Tier 2)</w:t>
      </w:r>
    </w:p>
    <w:p>
      <w:pPr>
        <w:spacing w:after="80"/>
      </w:pPr>
      <w:r>
        <w:rPr>
          <w:b/>
          <w:bCs/>
          <w:sz w:val="21"/>
          <w:szCs w:val="21"/>
        </w:rPr>
        <w:t xml:space="preserve">What it is: </w:t>
      </w:r>
      <w:r>
        <w:rPr>
          <w:sz w:val="21"/>
          <w:szCs w:val="21"/>
        </w:rPr>
        <w:t xml:space="preserve">ML models predicting churn risk, product propensity, or growth opportunities for an FI's own customer base, delivered back to that FI as a score or recommendation.</w:t>
      </w:r>
    </w:p>
    <w:p>
      <w:pPr>
        <w:spacing w:after="80"/>
      </w:pPr>
      <w:r>
        <w:rPr>
          <w:b/>
          <w:bCs/>
          <w:sz w:val="21"/>
          <w:szCs w:val="21"/>
        </w:rPr>
        <w:t xml:space="preserve">Why lower risk by design: </w:t>
      </w:r>
      <w:r>
        <w:rPr>
          <w:sz w:val="21"/>
          <w:szCs w:val="21"/>
        </w:rPr>
        <w:t xml:space="preserve">Output stays with the FI that owns the customer relationship; not shared cross-institution in the base case, and not used for eligibility decisions.</w:t>
      </w:r>
    </w:p>
    <w:p>
      <w:pPr>
        <w:spacing w:after="80"/>
      </w:pPr>
      <w:r>
        <w:rPr>
          <w:b/>
          <w:bCs/>
          <w:sz w:val="21"/>
          <w:szCs w:val="21"/>
        </w:rPr>
        <w:t xml:space="preserve">Legal questions: </w:t>
      </w:r>
      <w:r>
        <w:rPr>
          <w:sz w:val="21"/>
          <w:szCs w:val="21"/>
        </w:rPr>
        <w:t xml:space="preserve"/>
      </w:r>
    </w:p>
    <w:p>
      <w:pPr>
        <w:pStyle w:val="ListParagraph"/>
        <w:numPr>
          <w:ilvl w:val="0"/>
          <w:numId w:val="2"/>
        </w:numPr>
        <w:spacing w:after="80"/>
      </w:pPr>
      <w:r>
        <w:rPr>
          <w:sz w:val="21"/>
          <w:szCs w:val="21"/>
        </w:rPr>
        <w:t xml:space="preserve">Confirm these scores fall outside FCRA scope because they are not used for credit, insurance, employment, tenant-screening, or similar eligibility purposes — what contract language locks in that purpose limitation with the FI client (i.e., prevents the FI from repurposing a churn score into a credit-decision input)?</w:t>
      </w:r>
    </w:p>
    <w:p>
      <w:pPr>
        <w:pStyle w:val="ListParagraph"/>
        <w:numPr>
          <w:ilvl w:val="0"/>
          <w:numId w:val="2"/>
        </w:numPr>
        <w:spacing w:after="80"/>
      </w:pPr>
      <w:r>
        <w:rPr>
          <w:sz w:val="21"/>
          <w:szCs w:val="21"/>
        </w:rPr>
        <w:t xml:space="preserve">If we train models on pooled, cross-institution data but deliver single-FI outputs, does the pooled training data itself raise GLBA permissible-use questions distinct from the delivered output?</w:t>
      </w:r>
    </w:p>
    <w:p>
      <w:pPr>
        <w:pStyle w:val="ListParagraph"/>
        <w:numPr>
          <w:ilvl w:val="0"/>
          <w:numId w:val="2"/>
        </w:numPr>
        <w:spacing w:after="80"/>
      </w:pPr>
      <w:r>
        <w:rPr>
          <w:sz w:val="21"/>
          <w:szCs w:val="21"/>
        </w:rPr>
        <w:t xml:space="preserve">Do any state-law profiling/automated-decision-making disclosure obligations (several comprehensive state privacy laws include rights around profiling with legal or similarly significant effects) apply even though these are not eligibility decisions?</w:t>
      </w:r>
    </w:p>
    <w:p>
      <w:pPr>
        <w:pStyle w:val="Heading2"/>
        <w:spacing w:after="100" w:before="220"/>
      </w:pPr>
      <w:r>
        <w:t xml:space="preserve">5.4  Identity Resolution / Data Services — Email, Phone, Address, Name, DOB Matching  (Tier 3)</w:t>
      </w:r>
    </w:p>
    <w:p>
      <w:pPr>
        <w:spacing w:after="80"/>
      </w:pPr>
      <w:r>
        <w:rPr>
          <w:b/>
          <w:bCs/>
          <w:sz w:val="21"/>
          <w:szCs w:val="21"/>
        </w:rPr>
        <w:t xml:space="preserve">What it is: </w:t>
      </w:r>
      <w:r>
        <w:rPr>
          <w:sz w:val="21"/>
          <w:szCs w:val="21"/>
        </w:rPr>
        <w:t xml:space="preserve">Cross-institution identity matching/resolution — e.g., confirming an email or phone number is associated with a given name/DOB across our client base — for fraud prevention, KYC/CIP support, or data hygiene.</w:t>
      </w:r>
    </w:p>
    <w:p>
      <w:pPr>
        <w:spacing w:after="80"/>
      </w:pPr>
      <w:r>
        <w:rPr>
          <w:b/>
          <w:bCs/>
          <w:sz w:val="21"/>
          <w:szCs w:val="21"/>
        </w:rPr>
        <w:t xml:space="preserve">Why highest risk: </w:t>
      </w:r>
      <w:r>
        <w:rPr>
          <w:sz w:val="21"/>
          <w:szCs w:val="21"/>
        </w:rPr>
        <w:t xml:space="preserve">This tier operates directly on individual-level PII/NPI, even if the delivered output is a match-confidence score rather than raw data. It's the tier most likely to implicate GLBA's Privacy Rule (Reg P) redisclosure restrictions head-on, since it uses one FI's customer data to answer a question posed by (or about) another FI's customer.</w:t>
      </w:r>
    </w:p>
    <w:p>
      <w:pPr>
        <w:spacing w:after="80"/>
      </w:pPr>
      <w:r>
        <w:rPr>
          <w:b/>
          <w:bCs/>
          <w:sz w:val="21"/>
          <w:szCs w:val="21"/>
        </w:rPr>
        <w:t xml:space="preserve">Legal questions: </w:t>
      </w:r>
      <w:r>
        <w:rPr>
          <w:sz w:val="21"/>
          <w:szCs w:val="21"/>
        </w:rPr>
        <w:t xml:space="preserve"/>
      </w:r>
    </w:p>
    <w:p>
      <w:pPr>
        <w:pStyle w:val="ListParagraph"/>
        <w:numPr>
          <w:ilvl w:val="0"/>
          <w:numId w:val="2"/>
        </w:numPr>
        <w:spacing w:after="80"/>
      </w:pPr>
      <w:r>
        <w:rPr>
          <w:sz w:val="21"/>
          <w:szCs w:val="21"/>
        </w:rPr>
        <w:t xml:space="preserve">Under GLBA/Reg P, does cross-FI identity matching fall within an existing exception (e.g., fraud prevention, or “necessary to effect, administer, or enforce a transaction”), or does it require new consumer notice/opt-out mechanics?</w:t>
      </w:r>
    </w:p>
    <w:p>
      <w:pPr>
        <w:pStyle w:val="ListParagraph"/>
        <w:numPr>
          <w:ilvl w:val="0"/>
          <w:numId w:val="2"/>
        </w:numPr>
        <w:spacing w:after="80"/>
      </w:pPr>
      <w:r>
        <w:rPr>
          <w:sz w:val="21"/>
          <w:szCs w:val="21"/>
        </w:rPr>
        <w:t xml:space="preserve">Is a match/no-match or confidence-score output still “furnishing” data about a consumer in a way that could implicate FCRA if a downstream use touches an eligibility decision (e.g., KYC feeding into account-opening)?</w:t>
      </w:r>
    </w:p>
    <w:p>
      <w:pPr>
        <w:pStyle w:val="ListParagraph"/>
        <w:numPr>
          <w:ilvl w:val="0"/>
          <w:numId w:val="2"/>
        </w:numPr>
        <w:spacing w:after="80"/>
      </w:pPr>
      <w:r>
        <w:rPr>
          <w:sz w:val="21"/>
          <w:szCs w:val="21"/>
        </w:rPr>
        <w:t xml:space="preserve">Do state data-broker/registration laws apply to this specific service line even if broader index products (5.1) are structured to avoid that classification?</w:t>
      </w:r>
    </w:p>
    <w:p>
      <w:pPr>
        <w:pStyle w:val="ListParagraph"/>
        <w:numPr>
          <w:ilvl w:val="0"/>
          <w:numId w:val="2"/>
        </w:numPr>
        <w:spacing w:after="80"/>
      </w:pPr>
      <w:r>
        <w:rPr>
          <w:sz w:val="21"/>
          <w:szCs w:val="21"/>
        </w:rPr>
        <w:t xml:space="preserve">What are the minimum necessary data-handling/security controls (encryption, access control, retention limits) under the amended GLBA Safeguards Rule (core amendments effective June 2023; breach-notification amendment effective May 2024) for a service that centralizes PII matching across our full client base?</w:t>
      </w:r>
    </w:p>
    <w:p>
      <w:pPr>
        <w:pStyle w:val="Heading1"/>
        <w:spacing w:after="140" w:before="320"/>
      </w:pPr>
      <w:r>
        <w:t xml:space="preserve">6. Explicit Guardrails — What We Are Deliberately Not Doing</w:t>
      </w:r>
    </w:p>
    <w:p>
      <w:pPr>
        <w:spacing w:after="140"/>
        <w:jc w:val="both"/>
      </w:pPr>
      <w:r>
        <w:rPr>
          <w:sz w:val="21"/>
          <w:szCs w:val="21"/>
        </w:rPr>
        <w:t xml:space="preserve">To keep the initial product set inside a defensible risk envelope, we propose explicitly excluding, for now:</w:t>
      </w:r>
    </w:p>
    <w:p>
      <w:pPr>
        <w:pStyle w:val="ListParagraph"/>
        <w:numPr>
          <w:ilvl w:val="0"/>
          <w:numId w:val="2"/>
        </w:numPr>
        <w:spacing w:after="80"/>
      </w:pPr>
      <w:r>
        <w:rPr>
          <w:b/>
          <w:bCs/>
          <w:sz w:val="21"/>
          <w:szCs w:val="21"/>
        </w:rPr>
        <w:t xml:space="preserve">Credit decisioning / FCRA-covered eligibility uses:</w:t>
      </w:r>
      <w:r>
        <w:rPr>
          <w:sz w:val="21"/>
          <w:szCs w:val="21"/>
        </w:rPr>
        <w:t xml:space="preserve"> No product in this roadmap is intended to be used, marketed, or contractually permitted for use as a factor in a credit, insurance, tenant-screening, or similar eligibility decision about a specific consumer. We'd like Legal's help drafting contract language that makes this restriction binding on the client's use of our outputs, not just our own intent.</w:t>
      </w:r>
    </w:p>
    <w:p>
      <w:pPr>
        <w:pStyle w:val="ListParagraph"/>
        <w:numPr>
          <w:ilvl w:val="0"/>
          <w:numId w:val="2"/>
        </w:numPr>
        <w:spacing w:after="80"/>
      </w:pPr>
      <w:r>
        <w:rPr>
          <w:b/>
          <w:bCs/>
          <w:sz w:val="21"/>
          <w:szCs w:val="21"/>
        </w:rPr>
        <w:t xml:space="preserve">Employment decisions / EEOC &amp; Title VII:</w:t>
      </w:r>
      <w:r>
        <w:rPr>
          <w:sz w:val="21"/>
          <w:szCs w:val="21"/>
        </w:rPr>
        <w:t xml:space="preserve"> No product is intended for use in hiring, promotion, termination, or other employment decisions. Even though the EEOC removed its 2023 AI-specific technical guidance from its website in January 2025, the underlying Title VII disparate-impact framework and the Uniform Guidelines on Employee Selection Procedures remain fully in force, and the EEOC's 2026–2028 Strategic Enforcement Plan names algorithmic/technology-related discrimination as an enforcement priority. We recommend the exclusion be explicit and contractual, not just a product-design assumption.</w:t>
      </w:r>
    </w:p>
    <w:p>
      <w:pPr>
        <w:spacing w:after="140"/>
        <w:jc w:val="both"/>
      </w:pPr>
      <w:r>
        <w:rPr>
          <w:sz w:val="21"/>
          <w:szCs w:val="21"/>
        </w:rPr>
        <w:t xml:space="preserve">We recognize “guardrail by design” only holds if it's also a guardrail by contract — FI clients need to be contractually restricted from repurposing our outputs into either excluded use case.</w:t>
      </w:r>
    </w:p>
    <w:p>
      <w:pPr>
        <w:pStyle w:val="Heading1"/>
        <w:spacing w:after="140" w:before="320"/>
      </w:pPr>
      <w:r>
        <w:t xml:space="preserve">7. Legal &amp; Regulatory Frameworks in Play</w:t>
      </w:r>
    </w:p>
    <w:p>
      <w:pPr>
        <w:spacing w:after="140"/>
        <w:jc w:val="both"/>
      </w:pPr>
      <w:r>
        <w:rPr>
          <w:sz w:val="21"/>
          <w:szCs w:val="21"/>
        </w:rPr>
        <w:t xml:space="preserve">The following is our non-lawyer summary of the frameworks we believe are most relevant, current as of mid-2026 to the best of our understanding — offered as a starting point for Legal's own analysis, not a substitute for it.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600"/>
        <w:gridCol w:w="2260"/>
      </w:tblGrid>
      <w:tr>
        <w:trPr>
          <w:tblHeader/>
        </w:trPr>
        <w:tc>
          <w:tcPr>
            <w:tcW w:type="dxa" w:w="2200"/>
            <w:shd w:fill="1F3864" w:color="auto" w:val="clear"/>
            <w:tcMar>
              <w:top w:type="dxa" w:w="80"/>
              <w:left w:type="dxa" w:w="100"/>
              <w:bottom w:type="dxa" w:w="80"/>
              <w:right w:type="dxa" w:w="100"/>
            </w:tcMar>
            <w:vAlign w:val="top"/>
          </w:tcPr>
          <w:p>
            <w:r>
              <w:rPr>
                <w:b/>
                <w:bCs/>
                <w:color w:val="FFFFFF"/>
                <w:sz w:val="19"/>
                <w:szCs w:val="19"/>
              </w:rPr>
              <w:t xml:space="preserve">Framework</w:t>
            </w:r>
          </w:p>
        </w:tc>
        <w:tc>
          <w:tcPr>
            <w:tcW w:type="dxa" w:w="2900"/>
            <w:shd w:fill="1F3864" w:color="auto" w:val="clear"/>
            <w:tcMar>
              <w:top w:type="dxa" w:w="80"/>
              <w:left w:type="dxa" w:w="100"/>
              <w:bottom w:type="dxa" w:w="80"/>
              <w:right w:type="dxa" w:w="100"/>
            </w:tcMar>
            <w:vAlign w:val="top"/>
          </w:tcPr>
          <w:p>
            <w:r>
              <w:rPr>
                <w:b/>
                <w:bCs/>
                <w:color w:val="FFFFFF"/>
                <w:sz w:val="19"/>
                <w:szCs w:val="19"/>
              </w:rPr>
              <w:t xml:space="preserve">Why It's Relevant Here</w:t>
            </w:r>
          </w:p>
        </w:tc>
        <w:tc>
          <w:tcPr>
            <w:tcW w:type="dxa" w:w="2600"/>
            <w:shd w:fill="1F3864" w:color="auto" w:val="clear"/>
            <w:tcMar>
              <w:top w:type="dxa" w:w="80"/>
              <w:left w:type="dxa" w:w="100"/>
              <w:bottom w:type="dxa" w:w="80"/>
              <w:right w:type="dxa" w:w="100"/>
            </w:tcMar>
            <w:vAlign w:val="top"/>
          </w:tcPr>
          <w:p>
            <w:r>
              <w:rPr>
                <w:b/>
                <w:bCs/>
                <w:color w:val="FFFFFF"/>
                <w:sz w:val="19"/>
                <w:szCs w:val="19"/>
              </w:rPr>
              <w:t xml:space="preserve">Status as of Mid-2026</w:t>
            </w:r>
          </w:p>
        </w:tc>
        <w:tc>
          <w:tcPr>
            <w:tcW w:type="dxa" w:w="2260"/>
            <w:shd w:fill="1F3864" w:color="auto" w:val="clear"/>
            <w:tcMar>
              <w:top w:type="dxa" w:w="80"/>
              <w:left w:type="dxa" w:w="100"/>
              <w:bottom w:type="dxa" w:w="80"/>
              <w:right w:type="dxa" w:w="100"/>
            </w:tcMar>
            <w:vAlign w:val="top"/>
          </w:tcPr>
          <w:p>
            <w:r>
              <w:rPr>
                <w:b/>
                <w:bCs/>
                <w:color w:val="FFFFFF"/>
                <w:sz w:val="19"/>
                <w:szCs w:val="19"/>
              </w:rPr>
              <w:t xml:space="preserve">Key Open Question for Legal</w:t>
            </w:r>
          </w:p>
        </w:tc>
      </w:tr>
      <w:tr>
        <w:tc>
          <w:tcPr>
            <w:tcW w:type="dxa" w:w="2200"/>
            <w:tcMar>
              <w:top w:type="dxa" w:w="80"/>
              <w:left w:type="dxa" w:w="100"/>
              <w:bottom w:type="dxa" w:w="80"/>
              <w:right w:type="dxa" w:w="100"/>
            </w:tcMar>
            <w:vAlign w:val="top"/>
          </w:tcPr>
          <w:p>
            <w:r>
              <w:rPr>
                <w:b w:val="false"/>
                <w:bCs w:val="false"/>
                <w:color w:val="000000"/>
                <w:sz w:val="19"/>
                <w:szCs w:val="19"/>
              </w:rPr>
              <w:t xml:space="preserve">Fair Credit Reporting Act (FCRA)</w:t>
            </w:r>
          </w:p>
        </w:tc>
        <w:tc>
          <w:tcPr>
            <w:tcW w:type="dxa" w:w="2900"/>
            <w:tcMar>
              <w:top w:type="dxa" w:w="80"/>
              <w:left w:type="dxa" w:w="100"/>
              <w:bottom w:type="dxa" w:w="80"/>
              <w:right w:type="dxa" w:w="100"/>
            </w:tcMar>
            <w:vAlign w:val="top"/>
          </w:tcPr>
          <w:p>
            <w:r>
              <w:rPr>
                <w:b w:val="false"/>
                <w:bCs w:val="false"/>
                <w:color w:val="000000"/>
                <w:sz w:val="19"/>
                <w:szCs w:val="19"/>
              </w:rPr>
              <w:t xml:space="preserve">Governs “consumer reports” used for eligibility purposes (credit, insurance, employment, housing). Definition turns on use/expectation of use, not formatting.</w:t>
            </w:r>
          </w:p>
        </w:tc>
        <w:tc>
          <w:tcPr>
            <w:tcW w:type="dxa" w:w="2600"/>
            <w:tcMar>
              <w:top w:type="dxa" w:w="80"/>
              <w:left w:type="dxa" w:w="100"/>
              <w:bottom w:type="dxa" w:w="80"/>
              <w:right w:type="dxa" w:w="100"/>
            </w:tcMar>
            <w:vAlign w:val="top"/>
          </w:tcPr>
          <w:p>
            <w:r>
              <w:rPr>
                <w:b w:val="false"/>
                <w:bCs w:val="false"/>
                <w:color w:val="000000"/>
                <w:sz w:val="19"/>
                <w:szCs w:val="19"/>
              </w:rPr>
              <w:t xml:space="preserve">CFPB's Dec. 2024 proposal to explicitly extend FCRA to aggregated/de-identified data sold by data brokers was withdrawn May 2025 — no new binding rule; existing case law/CFPB interpretation still controls.</w:t>
            </w:r>
          </w:p>
        </w:tc>
        <w:tc>
          <w:tcPr>
            <w:tcW w:type="dxa" w:w="2260"/>
            <w:tcMar>
              <w:top w:type="dxa" w:w="80"/>
              <w:left w:type="dxa" w:w="100"/>
              <w:bottom w:type="dxa" w:w="80"/>
              <w:right w:type="dxa" w:w="100"/>
            </w:tcMar>
            <w:vAlign w:val="top"/>
          </w:tcPr>
          <w:p>
            <w:r>
              <w:rPr>
                <w:b w:val="false"/>
                <w:bCs w:val="false"/>
                <w:color w:val="000000"/>
                <w:sz w:val="19"/>
                <w:szCs w:val="19"/>
              </w:rPr>
              <w:t xml:space="preserve">Where is the line between our Tier 2/3 outputs and a “consumer report,” especially for fraud/risk signals that could touch account-opening decisions?</w:t>
            </w:r>
          </w:p>
        </w:tc>
      </w:tr>
      <w:tr>
        <w:tc>
          <w:tcPr>
            <w:tcW w:type="dxa" w:w="2200"/>
            <w:shd w:fill="DCE6F1" w:color="auto" w:val="clear"/>
            <w:tcMar>
              <w:top w:type="dxa" w:w="80"/>
              <w:left w:type="dxa" w:w="100"/>
              <w:bottom w:type="dxa" w:w="80"/>
              <w:right w:type="dxa" w:w="100"/>
            </w:tcMar>
            <w:vAlign w:val="top"/>
          </w:tcPr>
          <w:p>
            <w:r>
              <w:rPr>
                <w:b w:val="false"/>
                <w:bCs w:val="false"/>
                <w:color w:val="000000"/>
                <w:sz w:val="19"/>
                <w:szCs w:val="19"/>
              </w:rPr>
              <w:t xml:space="preserve">Gramm-Leach-Bliley Act — Safeguards Rule &amp; Privacy Rule (Reg P)</w:t>
            </w:r>
          </w:p>
        </w:tc>
        <w:tc>
          <w:tcPr>
            <w:tcW w:type="dxa" w:w="2900"/>
            <w:shd w:fill="DCE6F1" w:color="auto" w:val="clear"/>
            <w:tcMar>
              <w:top w:type="dxa" w:w="80"/>
              <w:left w:type="dxa" w:w="100"/>
              <w:bottom w:type="dxa" w:w="80"/>
              <w:right w:type="dxa" w:w="100"/>
            </w:tcMar>
            <w:vAlign w:val="top"/>
          </w:tcPr>
          <w:p>
            <w:r>
              <w:rPr>
                <w:b w:val="false"/>
                <w:bCs w:val="false"/>
                <w:color w:val="000000"/>
                <w:sz w:val="19"/>
                <w:szCs w:val="19"/>
              </w:rPr>
              <w:t xml:space="preserve">Safeguards Rule (16 CFR 314) sets required technical/administrative controls. Privacy Rule/Reg P governs when we can share and reuse FI customers' nonpublic personal information (NPI), including cross-institution use.</w:t>
            </w:r>
          </w:p>
        </w:tc>
        <w:tc>
          <w:tcPr>
            <w:tcW w:type="dxa" w:w="2600"/>
            <w:shd w:fill="DCE6F1" w:color="auto" w:val="clear"/>
            <w:tcMar>
              <w:top w:type="dxa" w:w="80"/>
              <w:left w:type="dxa" w:w="100"/>
              <w:bottom w:type="dxa" w:w="80"/>
              <w:right w:type="dxa" w:w="100"/>
            </w:tcMar>
            <w:vAlign w:val="top"/>
          </w:tcPr>
          <w:p>
            <w:r>
              <w:rPr>
                <w:b w:val="false"/>
                <w:bCs w:val="false"/>
                <w:color w:val="000000"/>
                <w:sz w:val="19"/>
                <w:szCs w:val="19"/>
              </w:rPr>
              <w:t xml:space="preserve">Core Safeguards amendments effective June 2023 (encryption, MFA, Qualified Individual, vendor oversight); breach-notification amendment effective May 2024 (30-day FTC notice for 500+ consumer events).</w:t>
            </w:r>
          </w:p>
        </w:tc>
        <w:tc>
          <w:tcPr>
            <w:tcW w:type="dxa" w:w="2260"/>
            <w:shd w:fill="DCE6F1" w:color="auto" w:val="clear"/>
            <w:tcMar>
              <w:top w:type="dxa" w:w="80"/>
              <w:left w:type="dxa" w:w="100"/>
              <w:bottom w:type="dxa" w:w="80"/>
              <w:right w:type="dxa" w:w="100"/>
            </w:tcMar>
            <w:vAlign w:val="top"/>
          </w:tcPr>
          <w:p>
            <w:r>
              <w:rPr>
                <w:b w:val="false"/>
                <w:bCs w:val="false"/>
                <w:color w:val="000000"/>
                <w:sz w:val="19"/>
                <w:szCs w:val="19"/>
              </w:rPr>
              <w:t xml:space="preserve">Does our proposed cross-institution reuse of NPI (pooled model training, cross-FI fraud signals, identity resolution) fit an existing GLBA exception, or does it need new client consent/contract language?</w:t>
            </w:r>
          </w:p>
        </w:tc>
      </w:tr>
      <w:tr>
        <w:tc>
          <w:tcPr>
            <w:tcW w:type="dxa" w:w="2200"/>
            <w:tcMar>
              <w:top w:type="dxa" w:w="80"/>
              <w:left w:type="dxa" w:w="100"/>
              <w:bottom w:type="dxa" w:w="80"/>
              <w:right w:type="dxa" w:w="100"/>
            </w:tcMar>
            <w:vAlign w:val="top"/>
          </w:tcPr>
          <w:p>
            <w:r>
              <w:rPr>
                <w:b w:val="false"/>
                <w:bCs w:val="false"/>
                <w:color w:val="000000"/>
                <w:sz w:val="19"/>
                <w:szCs w:val="19"/>
              </w:rPr>
              <w:t xml:space="preserve">State Comprehensive Privacy Laws &amp; Data Broker Statutes (CA, VT, TX, OR, and ~19–20 states in effect)</w:t>
            </w:r>
          </w:p>
        </w:tc>
        <w:tc>
          <w:tcPr>
            <w:tcW w:type="dxa" w:w="2900"/>
            <w:tcMar>
              <w:top w:type="dxa" w:w="80"/>
              <w:left w:type="dxa" w:w="100"/>
              <w:bottom w:type="dxa" w:w="80"/>
              <w:right w:type="dxa" w:w="100"/>
            </w:tcMar>
            <w:vAlign w:val="top"/>
          </w:tcPr>
          <w:p>
            <w:r>
              <w:rPr>
                <w:b w:val="false"/>
                <w:bCs w:val="false"/>
                <w:color w:val="000000"/>
                <w:sz w:val="19"/>
                <w:szCs w:val="19"/>
              </w:rPr>
              <w:t xml:space="preserve">Most exempt GLBA-covered financial institutions/data, but exemption scope (entity-level vs. data-level) varies. CA/VT/TX/OR separately regulate “data brokers” that sell/license data not collected directly from consumers.</w:t>
            </w:r>
          </w:p>
        </w:tc>
        <w:tc>
          <w:tcPr>
            <w:tcW w:type="dxa" w:w="2600"/>
            <w:tcMar>
              <w:top w:type="dxa" w:w="80"/>
              <w:left w:type="dxa" w:w="100"/>
              <w:bottom w:type="dxa" w:w="80"/>
              <w:right w:type="dxa" w:w="100"/>
            </w:tcMar>
            <w:vAlign w:val="top"/>
          </w:tcPr>
          <w:p>
            <w:r>
              <w:rPr>
                <w:b w:val="false"/>
                <w:bCs w:val="false"/>
                <w:color w:val="000000"/>
                <w:sz w:val="19"/>
                <w:szCs w:val="19"/>
              </w:rPr>
              <w:t xml:space="preserve">CA's Delete Act/DROP platform went live Jan. 2026; Indiana, Kentucky, and Rhode Island joined the active-enforcement map Jan. 1, 2026.</w:t>
            </w:r>
          </w:p>
        </w:tc>
        <w:tc>
          <w:tcPr>
            <w:tcW w:type="dxa" w:w="2260"/>
            <w:tcMar>
              <w:top w:type="dxa" w:w="80"/>
              <w:left w:type="dxa" w:w="100"/>
              <w:bottom w:type="dxa" w:w="80"/>
              <w:right w:type="dxa" w:w="100"/>
            </w:tcMar>
            <w:vAlign w:val="top"/>
          </w:tcPr>
          <w:p>
            <w:r>
              <w:rPr>
                <w:b w:val="false"/>
                <w:bCs w:val="false"/>
                <w:color w:val="000000"/>
                <w:sz w:val="19"/>
                <w:szCs w:val="19"/>
              </w:rPr>
              <w:t xml:space="preserve">Does Jack Henry itself (vs. our FI clients) qualify for the GLBA exemption in each relevant state, and does licensing indices/insights to non-FI third parties trigger data-broker registration anywhere?</w:t>
            </w:r>
          </w:p>
        </w:tc>
      </w:tr>
      <w:tr>
        <w:tc>
          <w:tcPr>
            <w:tcW w:type="dxa" w:w="2200"/>
            <w:shd w:fill="DCE6F1" w:color="auto" w:val="clear"/>
            <w:tcMar>
              <w:top w:type="dxa" w:w="80"/>
              <w:left w:type="dxa" w:w="100"/>
              <w:bottom w:type="dxa" w:w="80"/>
              <w:right w:type="dxa" w:w="100"/>
            </w:tcMar>
            <w:vAlign w:val="top"/>
          </w:tcPr>
          <w:p>
            <w:r>
              <w:rPr>
                <w:b w:val="false"/>
                <w:bCs w:val="false"/>
                <w:color w:val="000000"/>
                <w:sz w:val="19"/>
                <w:szCs w:val="19"/>
              </w:rPr>
              <w:t xml:space="preserve">Interagency Guidance on Third-Party Relationships: Risk Management (OCC/FDIC/Federal Reserve)</w:t>
            </w:r>
          </w:p>
        </w:tc>
        <w:tc>
          <w:tcPr>
            <w:tcW w:type="dxa" w:w="2900"/>
            <w:shd w:fill="DCE6F1" w:color="auto" w:val="clear"/>
            <w:tcMar>
              <w:top w:type="dxa" w:w="80"/>
              <w:left w:type="dxa" w:w="100"/>
              <w:bottom w:type="dxa" w:w="80"/>
              <w:right w:type="dxa" w:w="100"/>
            </w:tcMar>
            <w:vAlign w:val="top"/>
          </w:tcPr>
          <w:p>
            <w:r>
              <w:rPr>
                <w:b w:val="false"/>
                <w:bCs w:val="false"/>
                <w:color w:val="000000"/>
                <w:sz w:val="19"/>
                <w:szCs w:val="19"/>
              </w:rPr>
              <w:t xml:space="preserve">Sets supervisory expectations for how banks/credit unions oversee vendors like Jack Henry across the relationship lifecycle, and explicitly discusses vendor concentration risk.</w:t>
            </w:r>
          </w:p>
        </w:tc>
        <w:tc>
          <w:tcPr>
            <w:tcW w:type="dxa" w:w="2600"/>
            <w:shd w:fill="DCE6F1" w:color="auto" w:val="clear"/>
            <w:tcMar>
              <w:top w:type="dxa" w:w="80"/>
              <w:left w:type="dxa" w:w="100"/>
              <w:bottom w:type="dxa" w:w="80"/>
              <w:right w:type="dxa" w:w="100"/>
            </w:tcMar>
            <w:vAlign w:val="top"/>
          </w:tcPr>
          <w:p>
            <w:r>
              <w:rPr>
                <w:b w:val="false"/>
                <w:bCs w:val="false"/>
                <w:color w:val="000000"/>
                <w:sz w:val="19"/>
                <w:szCs w:val="19"/>
              </w:rPr>
              <w:t xml:space="preserve">Finalized June 2023; current and actively used by examiners.</w:t>
            </w:r>
          </w:p>
        </w:tc>
        <w:tc>
          <w:tcPr>
            <w:tcW w:type="dxa" w:w="2260"/>
            <w:shd w:fill="DCE6F1" w:color="auto" w:val="clear"/>
            <w:tcMar>
              <w:top w:type="dxa" w:w="80"/>
              <w:left w:type="dxa" w:w="100"/>
              <w:bottom w:type="dxa" w:w="80"/>
              <w:right w:type="dxa" w:w="100"/>
            </w:tcMar>
            <w:vAlign w:val="top"/>
          </w:tcPr>
          <w:p>
            <w:r>
              <w:rPr>
                <w:b w:val="false"/>
                <w:bCs w:val="false"/>
                <w:color w:val="000000"/>
                <w:sz w:val="19"/>
                <w:szCs w:val="19"/>
              </w:rPr>
              <w:t xml:space="preserve">As we introduce cross-institution AI/ML products, what additional contract terms, audit rights, or transparency do FI clients' examiners expect given our concentration across roughly 1-in-5 community banks?</w:t>
            </w:r>
          </w:p>
        </w:tc>
      </w:tr>
      <w:tr>
        <w:tc>
          <w:tcPr>
            <w:tcW w:type="dxa" w:w="2200"/>
            <w:tcMar>
              <w:top w:type="dxa" w:w="80"/>
              <w:left w:type="dxa" w:w="100"/>
              <w:bottom w:type="dxa" w:w="80"/>
              <w:right w:type="dxa" w:w="100"/>
            </w:tcMar>
            <w:vAlign w:val="top"/>
          </w:tcPr>
          <w:p>
            <w:r>
              <w:rPr>
                <w:b w:val="false"/>
                <w:bCs w:val="false"/>
                <w:color w:val="000000"/>
                <w:sz w:val="19"/>
                <w:szCs w:val="19"/>
              </w:rPr>
              <w:t xml:space="preserve">EEOC / Title VII (employment)</w:t>
            </w:r>
          </w:p>
        </w:tc>
        <w:tc>
          <w:tcPr>
            <w:tcW w:type="dxa" w:w="2900"/>
            <w:tcMar>
              <w:top w:type="dxa" w:w="80"/>
              <w:left w:type="dxa" w:w="100"/>
              <w:bottom w:type="dxa" w:w="80"/>
              <w:right w:type="dxa" w:w="100"/>
            </w:tcMar>
            <w:vAlign w:val="top"/>
          </w:tcPr>
          <w:p>
            <w:r>
              <w:rPr>
                <w:b w:val="false"/>
                <w:bCs w:val="false"/>
                <w:color w:val="000000"/>
                <w:sz w:val="19"/>
                <w:szCs w:val="19"/>
              </w:rPr>
              <w:t xml:space="preserve">Governs disparate-impact liability for algorithmic tools used in employment decisions. Directly relevant to the exclusion in Section 6.</w:t>
            </w:r>
          </w:p>
        </w:tc>
        <w:tc>
          <w:tcPr>
            <w:tcW w:type="dxa" w:w="2600"/>
            <w:tcMar>
              <w:top w:type="dxa" w:w="80"/>
              <w:left w:type="dxa" w:w="100"/>
              <w:bottom w:type="dxa" w:w="80"/>
              <w:right w:type="dxa" w:w="100"/>
            </w:tcMar>
            <w:vAlign w:val="top"/>
          </w:tcPr>
          <w:p>
            <w:r>
              <w:rPr>
                <w:b w:val="false"/>
                <w:bCs w:val="false"/>
                <w:color w:val="000000"/>
                <w:sz w:val="19"/>
                <w:szCs w:val="19"/>
              </w:rPr>
              <w:t xml:space="preserve">2023 AI technical guidance removed from EEOC's website Jan. 2025; underlying Title VII obligations unchanged; algorithmic discrimination named a 2026–2028 enforcement priority; several states drafting their own AI-hiring rules.</w:t>
            </w:r>
          </w:p>
        </w:tc>
        <w:tc>
          <w:tcPr>
            <w:tcW w:type="dxa" w:w="2260"/>
            <w:tcMar>
              <w:top w:type="dxa" w:w="80"/>
              <w:left w:type="dxa" w:w="100"/>
              <w:bottom w:type="dxa" w:w="80"/>
              <w:right w:type="dxa" w:w="100"/>
            </w:tcMar>
            <w:vAlign w:val="top"/>
          </w:tcPr>
          <w:p>
            <w:r>
              <w:rPr>
                <w:b w:val="false"/>
                <w:bCs w:val="false"/>
                <w:color w:val="000000"/>
                <w:sz w:val="19"/>
                <w:szCs w:val="19"/>
              </w:rPr>
              <w:t xml:space="preserve">Primary open item is contract language preventing FI clients from repurposing our outputs into employment screening.</w:t>
            </w:r>
          </w:p>
        </w:tc>
      </w:tr>
      <w:tr>
        <w:tc>
          <w:tcPr>
            <w:tcW w:type="dxa" w:w="2200"/>
            <w:shd w:fill="DCE6F1" w:color="auto" w:val="clear"/>
            <w:tcMar>
              <w:top w:type="dxa" w:w="80"/>
              <w:left w:type="dxa" w:w="100"/>
              <w:bottom w:type="dxa" w:w="80"/>
              <w:right w:type="dxa" w:w="100"/>
            </w:tcMar>
            <w:vAlign w:val="top"/>
          </w:tcPr>
          <w:p>
            <w:r>
              <w:rPr>
                <w:b w:val="false"/>
                <w:bCs w:val="false"/>
                <w:color w:val="000000"/>
                <w:sz w:val="19"/>
                <w:szCs w:val="19"/>
              </w:rPr>
              <w:t xml:space="preserve">CFPB Section 1033 / “Open Banking” Rule</w:t>
            </w:r>
          </w:p>
        </w:tc>
        <w:tc>
          <w:tcPr>
            <w:tcW w:type="dxa" w:w="2900"/>
            <w:shd w:fill="DCE6F1" w:color="auto" w:val="clear"/>
            <w:tcMar>
              <w:top w:type="dxa" w:w="80"/>
              <w:left w:type="dxa" w:w="100"/>
              <w:bottom w:type="dxa" w:w="80"/>
              <w:right w:type="dxa" w:w="100"/>
            </w:tcMar>
            <w:vAlign w:val="top"/>
          </w:tcPr>
          <w:p>
            <w:r>
              <w:rPr>
                <w:b w:val="false"/>
                <w:bCs w:val="false"/>
                <w:color w:val="000000"/>
                <w:sz w:val="19"/>
                <w:szCs w:val="19"/>
              </w:rPr>
              <w:t xml:space="preserve">Would establish a consumer right to direct sharing of their own financial data, with rules for data recipients on permissible/secondary use.</w:t>
            </w:r>
          </w:p>
        </w:tc>
        <w:tc>
          <w:tcPr>
            <w:tcW w:type="dxa" w:w="2600"/>
            <w:shd w:fill="DCE6F1" w:color="auto" w:val="clear"/>
            <w:tcMar>
              <w:top w:type="dxa" w:w="80"/>
              <w:left w:type="dxa" w:w="100"/>
              <w:bottom w:type="dxa" w:w="80"/>
              <w:right w:type="dxa" w:w="100"/>
            </w:tcMar>
            <w:vAlign w:val="top"/>
          </w:tcPr>
          <w:p>
            <w:r>
              <w:rPr>
                <w:b w:val="false"/>
                <w:bCs w:val="false"/>
                <w:color w:val="000000"/>
                <w:sz w:val="19"/>
                <w:szCs w:val="19"/>
              </w:rPr>
              <w:t xml:space="preserve">Finalized Oct. 2024; preliminarily enjoined (Bank Policy Institute v. CFPB, E.D. Ky.); CFPB opened new rulemaking (ANPR Aug. 2025) rather than defend the 2024 rule; the April 2026 compliance deadline passed without becoming binding.</w:t>
            </w:r>
          </w:p>
        </w:tc>
        <w:tc>
          <w:tcPr>
            <w:tcW w:type="dxa" w:w="2260"/>
            <w:shd w:fill="DCE6F1" w:color="auto" w:val="clear"/>
            <w:tcMar>
              <w:top w:type="dxa" w:w="80"/>
              <w:left w:type="dxa" w:w="100"/>
              <w:bottom w:type="dxa" w:w="80"/>
              <w:right w:type="dxa" w:w="100"/>
            </w:tcMar>
            <w:vAlign w:val="top"/>
          </w:tcPr>
          <w:p>
            <w:r>
              <w:rPr>
                <w:b w:val="false"/>
                <w:bCs w:val="false"/>
                <w:color w:val="000000"/>
                <w:sz w:val="19"/>
                <w:szCs w:val="19"/>
              </w:rPr>
              <w:t xml:space="preserve">Not currently binding, but directionally important — should we design data-use contracts now assuming a future secondary-use restriction along these lines?</w:t>
            </w:r>
          </w:p>
        </w:tc>
      </w:tr>
    </w:tbl>
    <w:p>
      <w:pPr>
        <w:pStyle w:val="Heading1"/>
        <w:spacing w:after="140" w:before="320"/>
      </w:pPr>
      <w:r>
        <w:t xml:space="preserve">8. Contracting &amp; Governance Implications</w:t>
      </w:r>
    </w:p>
    <w:p>
      <w:pPr>
        <w:spacing w:after="140"/>
        <w:jc w:val="both"/>
      </w:pPr>
      <w:r>
        <w:rPr>
          <w:sz w:val="21"/>
          <w:szCs w:val="21"/>
        </w:rPr>
        <w:t xml:space="preserve">Several of the open questions above point to the same practical need: our FI client contracts and internal data governance need to do real work, not just state intent. Items we'd like to work through with Legal:</w:t>
      </w:r>
    </w:p>
    <w:p>
      <w:pPr>
        <w:pStyle w:val="ListParagraph"/>
        <w:numPr>
          <w:ilvl w:val="0"/>
          <w:numId w:val="2"/>
        </w:numPr>
        <w:spacing w:after="80"/>
      </w:pPr>
      <w:r>
        <w:rPr>
          <w:b/>
          <w:bCs/>
          <w:sz w:val="21"/>
          <w:szCs w:val="21"/>
        </w:rPr>
        <w:t xml:space="preserve">Purpose-limitation / no-repurposing clauses:</w:t>
      </w:r>
      <w:r>
        <w:rPr>
          <w:sz w:val="21"/>
          <w:szCs w:val="21"/>
        </w:rPr>
        <w:t xml:space="preserve"> contract language binding the FI client, not just Jack Henry, to the credit-decisioning and employment-decision exclusions in Section 6.</w:t>
      </w:r>
    </w:p>
    <w:p>
      <w:pPr>
        <w:pStyle w:val="ListParagraph"/>
        <w:numPr>
          <w:ilvl w:val="0"/>
          <w:numId w:val="2"/>
        </w:numPr>
        <w:spacing w:after="80"/>
      </w:pPr>
      <w:r>
        <w:rPr>
          <w:b/>
          <w:bCs/>
          <w:sz w:val="21"/>
          <w:szCs w:val="21"/>
        </w:rPr>
        <w:t xml:space="preserve">Data use/reuse authorization:</w:t>
      </w:r>
      <w:r>
        <w:rPr>
          <w:sz w:val="21"/>
          <w:szCs w:val="21"/>
        </w:rPr>
        <w:t xml:space="preserve"> explicit client authorization for the specific secondary uses in Sections 5.1–5.4 (aggregation into indices, cross-FI fraud-signal sharing, pooled model training, cross-FI identity resolution), rather than relying on general processing-agreement language drafted before these products existed.</w:t>
      </w:r>
    </w:p>
    <w:p>
      <w:pPr>
        <w:pStyle w:val="ListParagraph"/>
        <w:numPr>
          <w:ilvl w:val="0"/>
          <w:numId w:val="2"/>
        </w:numPr>
        <w:spacing w:after="80"/>
      </w:pPr>
      <w:r>
        <w:rPr>
          <w:b/>
          <w:bCs/>
          <w:sz w:val="21"/>
          <w:szCs w:val="21"/>
        </w:rPr>
        <w:t xml:space="preserve">Aggregation/de-identification methodology sign-off:</w:t>
      </w:r>
      <w:r>
        <w:rPr>
          <w:sz w:val="21"/>
          <w:szCs w:val="21"/>
        </w:rPr>
        <w:t xml:space="preserve"> a documented, defensible standard (minimum-n thresholds, top/bottom coding, re-identification risk testing) that Legal and a technical/statistical owner both sign off on per product, especially for Tier 1 products we might license externally.</w:t>
      </w:r>
    </w:p>
    <w:p>
      <w:pPr>
        <w:pStyle w:val="ListParagraph"/>
        <w:numPr>
          <w:ilvl w:val="0"/>
          <w:numId w:val="2"/>
        </w:numPr>
        <w:spacing w:after="80"/>
      </w:pPr>
      <w:r>
        <w:rPr>
          <w:b/>
          <w:bCs/>
          <w:sz w:val="21"/>
          <w:szCs w:val="21"/>
        </w:rPr>
        <w:t xml:space="preserve">Audit and transparency rights:</w:t>
      </w:r>
      <w:r>
        <w:rPr>
          <w:sz w:val="21"/>
          <w:szCs w:val="21"/>
        </w:rPr>
        <w:t xml:space="preserve"> what FI clients (and their examiners, under the interagency third-party guidance) should be able to request from us regarding how their customers' data is used in cross-institution products.</w:t>
      </w:r>
    </w:p>
    <w:p>
      <w:pPr>
        <w:pStyle w:val="ListParagraph"/>
        <w:numPr>
          <w:ilvl w:val="0"/>
          <w:numId w:val="2"/>
        </w:numPr>
        <w:spacing w:after="80"/>
      </w:pPr>
      <w:r>
        <w:rPr>
          <w:b/>
          <w:bCs/>
          <w:sz w:val="21"/>
          <w:szCs w:val="21"/>
        </w:rPr>
        <w:t xml:space="preserve">Subcontractor/AI model disclosure:</w:t>
      </w:r>
      <w:r>
        <w:rPr>
          <w:sz w:val="21"/>
          <w:szCs w:val="21"/>
        </w:rPr>
        <w:t xml:space="preserve"> if we use third-party foundation models or subprocessors anywhere in these pipelines, confirm what disclosure our FI contracts and GLBA vendor-oversight obligations require.</w:t>
      </w:r>
    </w:p>
    <w:p>
      <w:pPr>
        <w:pStyle w:val="Heading1"/>
        <w:spacing w:after="140" w:before="320"/>
      </w:pPr>
      <w:r>
        <w:t xml:space="preserve">9. Open Questions for Legal — Summary</w:t>
      </w:r>
    </w:p>
    <w:p>
      <w:pPr>
        <w:pStyle w:val="ListParagraph"/>
        <w:numPr>
          <w:ilvl w:val="0"/>
          <w:numId w:val="2"/>
        </w:numPr>
        <w:spacing w:after="80"/>
      </w:pPr>
      <w:r>
        <w:rPr>
          <w:sz w:val="21"/>
          <w:szCs w:val="21"/>
        </w:rPr>
        <w:t xml:space="preserve">Confirm or refine the Tier 1/2/3 framework in Section 4 as the intake standard for future product ideas.</w:t>
      </w:r>
    </w:p>
    <w:p>
      <w:pPr>
        <w:pStyle w:val="ListParagraph"/>
        <w:numPr>
          <w:ilvl w:val="0"/>
          <w:numId w:val="2"/>
        </w:numPr>
        <w:spacing w:after="80"/>
      </w:pPr>
      <w:r>
        <w:rPr>
          <w:sz w:val="21"/>
          <w:szCs w:val="21"/>
        </w:rPr>
        <w:t xml:space="preserve">Provide a view on where fraud/risk signals (5.2) and identity resolution (5.4) sit relative to the FCRA “consumer report” definition.</w:t>
      </w:r>
    </w:p>
    <w:p>
      <w:pPr>
        <w:pStyle w:val="ListParagraph"/>
        <w:numPr>
          <w:ilvl w:val="0"/>
          <w:numId w:val="2"/>
        </w:numPr>
        <w:spacing w:after="80"/>
      </w:pPr>
      <w:r>
        <w:rPr>
          <w:sz w:val="21"/>
          <w:szCs w:val="21"/>
        </w:rPr>
        <w:t xml:space="preserve">Confirm whether Jack Henry itself needs to evaluate data-broker registration in CA/VT/TX/OR (and monitor other states) for any externally-licensed index products.</w:t>
      </w:r>
    </w:p>
    <w:p>
      <w:pPr>
        <w:pStyle w:val="ListParagraph"/>
        <w:numPr>
          <w:ilvl w:val="0"/>
          <w:numId w:val="2"/>
        </w:numPr>
        <w:spacing w:after="80"/>
      </w:pPr>
      <w:r>
        <w:rPr>
          <w:sz w:val="21"/>
          <w:szCs w:val="21"/>
        </w:rPr>
        <w:t xml:space="preserve">Advise on GLBA/Reg P analysis for cross-institution reuse of NPI, including whether an existing exception (e.g., fraud prevention) covers our fraud/risk use case.</w:t>
      </w:r>
    </w:p>
    <w:p>
      <w:pPr>
        <w:pStyle w:val="ListParagraph"/>
        <w:numPr>
          <w:ilvl w:val="0"/>
          <w:numId w:val="2"/>
        </w:numPr>
        <w:spacing w:after="80"/>
      </w:pPr>
      <w:r>
        <w:rPr>
          <w:sz w:val="21"/>
          <w:szCs w:val="21"/>
        </w:rPr>
        <w:t xml:space="preserve">Help draft contract language operationalizing the guardrails in Section 6 and the governance items in Section 8.</w:t>
      </w:r>
    </w:p>
    <w:p>
      <w:pPr>
        <w:pStyle w:val="ListParagraph"/>
        <w:numPr>
          <w:ilvl w:val="0"/>
          <w:numId w:val="2"/>
        </w:numPr>
        <w:spacing w:after="80"/>
      </w:pPr>
      <w:r>
        <w:rPr>
          <w:sz w:val="21"/>
          <w:szCs w:val="21"/>
        </w:rPr>
        <w:t xml:space="preserve">Flag any additional frameworks (e.g., state AI-specific laws, UDAAP/UDAP, model risk management expectations) we should build into the intake process for new product ideas beyond what's listed here.</w:t>
      </w:r>
    </w:p>
    <w:p>
      <w:pPr>
        <w:pStyle w:val="Heading1"/>
        <w:spacing w:after="140" w:before="320"/>
      </w:pPr>
      <w:r>
        <w:t xml:space="preserve">11. Addendum: Transaction Foundation Models &amp; Embeddings</w:t>
      </w:r>
    </w:p>
    <w:p>
      <w:pPr>
        <w:pBdr>
          <w:left w:val="single" w:color="1F3864" w:sz="12" w:space="8"/>
        </w:pBdr>
        <w:shd w:fill="F2F2F2" w:color="auto" w:val="clear"/>
        <w:spacing w:after="100"/>
      </w:pPr>
      <w:r>
        <w:rPr>
          <w:b w:val="false"/>
          <w:bCs w:val="false"/>
          <w:i/>
          <w:iCs/>
          <w:color w:val="595959"/>
          <w:sz w:val="20"/>
          <w:szCs w:val="20"/>
        </w:rPr>
        <w:t xml:space="preserve">Added July 17, 2026, following a follow-up discussion on the technical architecture underlying Sections 5.2–5.4. This addendum introduces one new governance question; it does not change the Tier framework or guardrails above.</w:t>
      </w:r>
    </w:p>
    <w:p>
      <w:pPr>
        <w:spacing w:after="140"/>
        <w:jc w:val="both"/>
      </w:pPr>
      <w:r>
        <w:rPr>
          <w:sz w:val="21"/>
          <w:szCs w:val="21"/>
        </w:rPr>
        <w:t xml:space="preserve">Since this memo was first drafted, we've refined the technical approach behind the fraud/risk (5.2) and revenue/growth (5.3) use cases: rather than hand-engineering features from transaction data, the current industry approach — used by Nubank, Stripe, Visa, Mastercard, Revolut, and Plaid, and now available as an open reference architecture from NVIDIA — is to pretrain a shared model on pooled, tokenized transaction sequences across many customers/institutions. That model produces a per-customer/account “embedding” (a vector of a few hundred numbers summarizing behavior), which is then blended with our existing tabular data and fed into the same CatBoost/XGBoost/AutoGluon models we use today. The delivered output to an FI client doesn't change — it's still a Tier 1/2 score or insight under Section 4. What's new is an intermediate artifact — the embedding, and the shared model that produces it — that didn't exist when we first mapped the tiers, and we don't think it's automatically covered by the existing analysis.</w:t>
      </w:r>
    </w:p>
    <w:p>
      <w:pPr>
        <w:pStyle w:val="Heading2"/>
        <w:spacing w:after="100" w:before="220"/>
      </w:pPr>
      <w:r>
        <w:t xml:space="preserve">11.1  Why This Needs Its Own Look</w:t>
      </w:r>
    </w:p>
    <w:p>
      <w:pPr>
        <w:pStyle w:val="ListParagraph"/>
        <w:numPr>
          <w:ilvl w:val="0"/>
          <w:numId w:val="2"/>
        </w:numPr>
        <w:spacing w:after="80"/>
      </w:pPr>
      <w:r>
        <w:rPr>
          <w:sz w:val="21"/>
          <w:szCs w:val="21"/>
        </w:rPr>
        <w:t xml:space="preserve">Published research indicates standard anonymization is not reliably effective against foundation-model-style representations, and “embedding inversion” — reconstructing a customer's underlying transaction history from their embedding — is an active area of study. We don't think we should assume an embedding falls outside the definition of NPI/PII simply because it's a vector of numbers rather than a name or account number.</w:t>
      </w:r>
    </w:p>
    <w:p>
      <w:pPr>
        <w:pStyle w:val="ListParagraph"/>
        <w:numPr>
          <w:ilvl w:val="0"/>
          <w:numId w:val="2"/>
        </w:numPr>
        <w:spacing w:after="80"/>
      </w:pPr>
      <w:r>
        <w:rPr>
          <w:sz w:val="21"/>
          <w:szCs w:val="21"/>
        </w:rPr>
        <w:t xml:space="preserve">Getting the benefit described in Section 2 requires pretraining the shared model on pooled transaction data across many FIs' customers — a distinct, categorical use of the underlying data that happens before any individual downstream product (5.1–5.4) is built on top of it. We think this pretraining step warrants its own GLBA/permissible-use analysis, separate from the analysis of whatever gets delivered afterward.</w:t>
      </w:r>
    </w:p>
    <w:p>
      <w:pPr>
        <w:pStyle w:val="Heading2"/>
        <w:spacing w:after="100" w:before="220"/>
      </w:pPr>
      <w:r>
        <w:t xml:space="preserve">11.2  Proposed Design Constraints (Pending Legal's Review)</w:t>
      </w:r>
    </w:p>
    <w:p>
      <w:pPr>
        <w:pStyle w:val="ListParagraph"/>
        <w:numPr>
          <w:ilvl w:val="0"/>
          <w:numId w:val="2"/>
        </w:numPr>
        <w:spacing w:after="80"/>
      </w:pPr>
      <w:r>
        <w:rPr>
          <w:sz w:val="21"/>
          <w:szCs w:val="21"/>
        </w:rPr>
        <w:t xml:space="preserve">Treat embeddings, and the vector store that holds them, as an internal-only asset governed at the Tier 3 level (access controls, retention limits, audit logging) even though no single field in an embedding is directly a name, SSN, or address.</w:t>
      </w:r>
    </w:p>
    <w:p>
      <w:pPr>
        <w:pStyle w:val="ListParagraph"/>
        <w:numPr>
          <w:ilvl w:val="0"/>
          <w:numId w:val="2"/>
        </w:numPr>
        <w:spacing w:after="80"/>
      </w:pPr>
      <w:r>
        <w:rPr>
          <w:sz w:val="21"/>
          <w:szCs w:val="21"/>
        </w:rPr>
        <w:t xml:space="preserve">Never deliver raw embeddings to FI clients or third parties as a stand-alone product — only the final task-specific score/insight (already contemplated in Sections 5.2–5.3) leaves this internal layer.</w:t>
      </w:r>
    </w:p>
    <w:p>
      <w:pPr>
        <w:pStyle w:val="ListParagraph"/>
        <w:numPr>
          <w:ilvl w:val="0"/>
          <w:numId w:val="2"/>
        </w:numPr>
        <w:spacing w:after="80"/>
      </w:pPr>
      <w:r>
        <w:rPr>
          <w:sz w:val="21"/>
          <w:szCs w:val="21"/>
        </w:rPr>
        <w:t xml:space="preserve">We're evaluating — not yet deploying — statistical techniques (e.g., dimensionality reduction into a smaller set of named, human-interpretable behavioral factors) that could both narrow what needs governance and make it easier to answer “what does this score depend on” if an FI client or examiner asks. We'll walk Legal through the specifics once this is further along; flagging it now so it's not a surprise later.</w:t>
      </w:r>
    </w:p>
    <w:p>
      <w:pPr>
        <w:pStyle w:val="Heading2"/>
        <w:spacing w:after="100" w:before="220"/>
      </w:pPr>
      <w:r>
        <w:t xml:space="preserve">11.3  New Questions for Legal</w:t>
      </w:r>
    </w:p>
    <w:p>
      <w:pPr>
        <w:pStyle w:val="ListParagraph"/>
        <w:numPr>
          <w:ilvl w:val="0"/>
          <w:numId w:val="2"/>
        </w:numPr>
        <w:spacing w:after="80"/>
      </w:pPr>
      <w:r>
        <w:rPr>
          <w:sz w:val="21"/>
          <w:szCs w:val="21"/>
        </w:rPr>
        <w:t xml:space="preserve">Does a per-customer embedding vector meet the GLBA definition of nonpublic personal information, and does that answer turn on whether we can demonstrate it resists re-identification/inversion?</w:t>
      </w:r>
    </w:p>
    <w:p>
      <w:pPr>
        <w:pStyle w:val="ListParagraph"/>
        <w:numPr>
          <w:ilvl w:val="0"/>
          <w:numId w:val="2"/>
        </w:numPr>
        <w:spacing w:after="80"/>
      </w:pPr>
      <w:r>
        <w:rPr>
          <w:sz w:val="21"/>
          <w:szCs w:val="21"/>
        </w:rPr>
        <w:t xml:space="preserve">Does pretraining a shared model on pooled NPI across many FIs' customers require its own client authorization, distinct from authorization for the delivered score (see Section 8's data use/reuse authorization item)?</w:t>
      </w:r>
    </w:p>
    <w:p>
      <w:pPr>
        <w:pStyle w:val="ListParagraph"/>
        <w:numPr>
          <w:ilvl w:val="0"/>
          <w:numId w:val="2"/>
        </w:numPr>
        <w:spacing w:after="80"/>
      </w:pPr>
      <w:r>
        <w:rPr>
          <w:sz w:val="21"/>
          <w:szCs w:val="21"/>
        </w:rPr>
        <w:t xml:space="preserve">What documentation would satisfy the interagency third-party risk guidance's expectations for a shared, cross-institution model artifact that no single FI's examiners can fully inspect on their own?</w:t>
      </w:r>
    </w:p>
    <w:p>
      <w:pPr>
        <w:pStyle w:val="Heading1"/>
        <w:spacing w:after="140" w:before="320"/>
      </w:pPr>
      <w:r>
        <w:t xml:space="preserve">12. Disclaimer</w:t>
      </w:r>
    </w:p>
    <w:p>
      <w:pPr>
        <w:spacing w:after="140"/>
        <w:jc w:val="both"/>
      </w:pPr>
      <w:r>
        <w:rPr>
          <w:sz w:val="21"/>
          <w:szCs w:val="21"/>
        </w:rPr>
        <w:t xml:space="preserve">This memo is prepared by the business to frame a product strategy and surface legal questions for review. It is not a legal analysis, and no conclusion in it — including the Tier 1/2/3 framework, the “processing service, not data controller” characterization, and the treatment of embeddings in Section 11 — should be treated as final until confirmed by Legal and Compliance.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i/>
        <w:iCs/>
        <w:color w:val="595959"/>
        <w:sz w:val="16"/>
        <w:szCs w:val="16"/>
      </w:rPr>
      <w:t xml:space="preserve">  |  Privileged &amp; Confidential — Prepared for Internal Legal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Cross-Institution Data, AI &amp; ML Products — Legal Discussion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2026-07-17T15:17:51.920Z</dcterms:created>
  <dcterms:modified xsi:type="dcterms:W3CDTF">2026-07-17T15:17:51.920Z</dcterms:modified>
</cp:coreProperties>
</file>

<file path=docProps/custom.xml><?xml version="1.0" encoding="utf-8"?>
<Properties xmlns="http://schemas.openxmlformats.org/officeDocument/2006/custom-properties" xmlns:vt="http://schemas.openxmlformats.org/officeDocument/2006/docPropsVTypes"/>
</file>