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Explainable Scorecards from Transaction Embeddings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Prepared for:  </w:t>
      </w:r>
      <w:r>
        <w:rPr>
          <w:sz w:val="21"/>
          <w:szCs w:val="21"/>
        </w:rPr>
        <w:t xml:space="preserve">Data, AI &amp; Analytics — technical reference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Date:  </w:t>
      </w:r>
      <w:r>
        <w:rPr>
          <w:sz w:val="21"/>
          <w:szCs w:val="21"/>
        </w:rPr>
        <w:t xml:space="preserve">July 17, 2026</w:t>
      </w:r>
    </w:p>
    <w:p>
      <w:pPr>
        <w:spacing w:after="40"/>
      </w:pPr>
      <w:r>
        <w:rPr>
          <w:b/>
          <w:bCs/>
          <w:sz w:val="21"/>
          <w:szCs w:val="21"/>
        </w:rPr>
        <w:t xml:space="preserve">Context:  </w:t>
      </w:r>
      <w:r>
        <w:rPr>
          <w:sz w:val="21"/>
          <w:szCs w:val="21"/>
        </w:rPr>
        <w:t xml:space="preserve">Companion technical note to the cross-institution data/AI strategy discussion; expands on two ways to turn transaction-foundation-model embeddings into an interpretable, scorecard-style output rather than a raw score or raw embedding.</w:t>
      </w:r>
    </w:p>
    <w:p>
      <w:pPr>
        <w:pBdr>
          <w:top w:val="single" w:color="1F3864" w:sz="6" w:space="4"/>
          <w:bottom w:val="single" w:color="1F3864" w:sz="6" w:space="4"/>
        </w:pBdr>
        <w:spacing w:after="200" w:before="200"/>
      </w:pPr>
      <w:r>
        <w:t xml:space="preserve"/>
      </w:r>
    </w:p>
    <w:p>
      <w:pPr>
        <w:spacing w:after="140"/>
        <w:jc w:val="both"/>
      </w:pPr>
      <w:r>
        <w:rPr>
          <w:sz w:val="21"/>
          <w:szCs w:val="21"/>
        </w:rPr>
        <w:t xml:space="preserve">Both approaches below start from the same place: a per-customer/account embedding produced by a pretrained transaction foundation model, blended with existing tabular features and fed into a CatBoost/XGBoost/AutoGluon model. They diverge on where the interpretability gets built in — one wraps a trained model after the fact; the other changes what the model is trained to predict in the first place.</w:t>
      </w:r>
    </w:p>
    <w:p>
      <w:pPr>
        <w:spacing w:after="300" w:before="200"/>
      </w:pPr>
      <w:sdt>
        <w:sdtPr>
          <w:alias w:val="Contents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  <w:spacing w:after="140" w:before="320"/>
      </w:pPr>
      <w:r>
        <w:t xml:space="preserve">1. Points-Based Scorecards via Shapley Values</w:t>
      </w:r>
    </w:p>
    <w:p>
      <w:pPr>
        <w:spacing w:after="140"/>
        <w:jc w:val="both"/>
      </w:pPr>
      <w:r>
        <w:rPr>
          <w:sz w:val="21"/>
          <w:szCs w:val="21"/>
        </w:rPr>
        <w:t xml:space="preserve">This is the direct modernization of the credit-industry scorecard, applied post-hoc to a model you've already trained.</w:t>
      </w:r>
    </w:p>
    <w:p>
      <w:pPr>
        <w:pStyle w:val="Heading2"/>
        <w:spacing w:after="100" w:before="220"/>
      </w:pPr>
      <w:r>
        <w:t xml:space="preserve">1.1  The Classical Lineage: WOE Binning and Points-to-Double-the-Odds</w:t>
      </w:r>
    </w:p>
    <w:p>
      <w:pPr>
        <w:spacing w:after="140"/>
        <w:jc w:val="both"/>
      </w:pPr>
      <w:r>
        <w:rPr>
          <w:sz w:val="21"/>
          <w:szCs w:val="21"/>
        </w:rPr>
        <w:t xml:space="preserve">Traditional scorecard construction bins each predictor into ranges chosen to maximize Weight of Evidence (WOE) — a log-ratio of the share of “good” versus “bad” cases in each bin, where a WOE of zero means the bin looks like the overall population and larger magnitudes mean the bin is more concentrated toward one outcome. A logistic regression is then fit on the WOE-transformed bins, and its coefficients are rescaled into integer points using a reference score, reference odds, and a Points-to-Double-the-Odds (PDO) constant — conventionally, the odds of a good outcome double for every PDO points of score increase. The result is a scorecard a person can compute by hand: look up which bin each attribute falls into, read off the points, add them up.</w:t>
      </w:r>
    </w:p>
    <w:p>
      <w:pPr>
        <w:spacing w:after="140"/>
        <w:jc w:val="both"/>
      </w:pPr>
      <w:r>
        <w:rPr>
          <w:sz w:val="21"/>
          <w:szCs w:val="21"/>
        </w:rPr>
        <w:t xml:space="preserve">Credit-scorecard practice also caps the number of predictor variables — typically at or below about 12 — specifically to keep the scorecard human-readable and to limit overfitting risk, a discipline worth carrying over to any factor set derived from an embedding.</w:t>
      </w:r>
    </w:p>
    <w:p>
      <w:pPr>
        <w:pStyle w:val="Heading2"/>
        <w:spacing w:after="100" w:before="220"/>
      </w:pPr>
      <w:r>
        <w:t xml:space="preserve">1.2  Bridging to Gradient-Boosted Trees: Shapley Values as the Additive Layer</w:t>
      </w:r>
    </w:p>
    <w:p>
      <w:pPr>
        <w:spacing w:after="140"/>
        <w:jc w:val="both"/>
      </w:pPr>
      <w:r>
        <w:rPr>
          <w:sz w:val="21"/>
          <w:szCs w:val="21"/>
        </w:rPr>
        <w:t xml:space="preserve">Logistic regression is additive by construction, which is exactly why it produces a clean points scorecard — but CatBoost, XGBoost, and similar ensembles are not, and they routinely outperform logistic regression on the same data. Shapley values close that gap: TreeSHAP computes, for any tree ensemble, a per-feature contribution to each individual prediction that satisfies three properties — local accuracy (the contributions sum exactly to the model's output), missingness (a feature absent from a tree contributes nothing), and consistency (a feature that matters more in a modified model never gets a smaller attribution). Local accuracy is what matters here: it means Shapley contributions are additive in exactly the way a scorecard needs them to be.</w:t>
      </w:r>
    </w:p>
    <w:p>
      <w:pPr>
        <w:spacing w:after="140"/>
        <w:jc w:val="both"/>
      </w:pPr>
      <w:r>
        <w:rPr>
          <w:sz w:val="21"/>
          <w:szCs w:val="21"/>
        </w:rPr>
        <w:t xml:space="preserve">A 2024 study (published in </w:t>
      </w:r>
      <w:r>
        <w:rPr>
          <w:b w:val="false"/>
          <w:bCs w:val="false"/>
          <w:i/>
          <w:iCs/>
          <w:sz w:val="21"/>
          <w:szCs w:val="21"/>
        </w:rPr>
        <w:t xml:space="preserve">PLOS ONE</w:t>
      </w:r>
      <w:r>
        <w:rPr>
          <w:sz w:val="21"/>
          <w:szCs w:val="21"/>
        </w:rPr>
        <w:t xml:space="preserve">) built this bridge directly: it trained logistic regression, random forest, XGBoost, LightGBM, and CatBoost on two public credit datasets (Home Credit and the Taiwan Credit Card dataset), computed Shapley values for the tree-based models, applied the same WOE-style binning discipline to those Shapley contributions, and rescaled them into a conventional points scorecard. The finding that matters most for adopting this approach: across all five models, the resulting scorecards </w:t>
      </w:r>
      <w:r>
        <w:rPr>
          <w:b/>
          <w:bCs/>
          <w:i w:val="false"/>
          <w:iCs w:val="false"/>
          <w:sz w:val="21"/>
          <w:szCs w:val="21"/>
        </w:rPr>
        <w:t xml:space="preserve">consistently agreed</w:t>
      </w:r>
      <w:r>
        <w:rPr>
          <w:sz w:val="21"/>
          <w:szCs w:val="21"/>
        </w:rPr>
        <w:t xml:space="preserve"> on which variable bins fell below the neutral score — and credit scores derived from Shapley values on the tree-based models aligned closely with those derived from the traditional logistic-regression scorecard. In other words, moving from logistic regression to a more accurate tree ensemble didn't require giving up the transparency the industry is used to.</w:t>
      </w:r>
    </w:p>
    <w:p>
      <w:pPr>
        <w:spacing w:after="140"/>
        <w:jc w:val="both"/>
      </w:pPr>
      <w:r>
        <w:rPr>
          <w:sz w:val="21"/>
          <w:szCs w:val="21"/>
        </w:rPr>
        <w:t xml:space="preserve">A 2025 framework, </w:t>
      </w:r>
      <w:r>
        <w:rPr>
          <w:b/>
          <w:bCs/>
          <w:i w:val="false"/>
          <w:iCs w:val="false"/>
          <w:sz w:val="21"/>
          <w:szCs w:val="21"/>
        </w:rPr>
        <w:t xml:space="preserve">SHAPoint</w:t>
      </w:r>
      <w:r>
        <w:rPr>
          <w:sz w:val="21"/>
          <w:szCs w:val="21"/>
        </w:rPr>
        <w:t xml:space="preserve">, operationalizes this further: it's a task-agnostic pipeline (classification, regression, or survival) that converts a trained gradient-boosted tree model directly into a compact, additive point score using Shapley values, while natively preserving tree-model conveniences like missing-data handling and monotonic constraints. It reports predictive performance comparable to state-of-the-art interpretable-scoring methods, at meaningfully lower computation cost than legacy WOE-binning pipelines — relevant once you're scoring cross-institution volume rather than a single portfolio.</w:t>
      </w:r>
    </w:p>
    <w:p>
      <w:pPr>
        <w:pStyle w:val="Heading2"/>
        <w:spacing w:after="100" w:before="220"/>
      </w:pPr>
      <w:r>
        <w:t xml:space="preserve">1.3  Applying This to an Embedding Pipeline</w:t>
      </w:r>
    </w:p>
    <w:p>
      <w:pPr>
        <w:spacing w:after="140"/>
        <w:jc w:val="both"/>
      </w:pPr>
      <w:r>
        <w:rPr>
          <w:sz w:val="21"/>
          <w:szCs w:val="21"/>
        </w:rPr>
        <w:t xml:space="preserve">The practical sequence: train the CatBoost/XGBoost/AutoGluon head as usual on transaction-embedding-derived factors plus existing tabular features; run a Shapley decomposition (TreeSHAP, or a SHAPoint-style wrapper) on that trained model for each prediction; bin the resulting per-factor Shapley contributions using the same WOE discipline; rescale into points via a PDO transform; sum for a total score. The output is exactly the additive scorecard in the mockup shared earlier — a total score plus a ranked list of named factors, each with a signed point contribution, all derived from a model that never had to sacrifice the accuracy lift the embeddings provide.</w:t>
      </w:r>
    </w:p>
    <w:p>
      <w:pPr>
        <w:pStyle w:val="Heading2"/>
        <w:spacing w:after="100" w:before="220"/>
      </w:pPr>
      <w:r>
        <w:t xml:space="preserve">1.4  What to Watch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Binning is still a design choice: how many bins per factor, and how often they're re-optimized as the underlying model retrains, needs its own monitoring — a scorecard that quietly re-bins every retrain cycle stops being a stable, explainable artifact.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This approach is fully post-hoc: it explains what the model did, but a corrected factor value doesn't propagate through to a new prediction the way an intervention does in Section 2. If you need genuine what-if behavior, that's the harder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TreeSHAP is efficient (polynomial, not exponential, in tree depth), but computing and storing per-customer Shapley decompositions at cross-institution volume is still a production cost to budget for, distinct from the cost of training the underlying model.</w:t>
      </w:r>
    </w:p>
    <w:p>
      <w:pPr>
        <w:pStyle w:val="Heading1"/>
        <w:spacing w:after="140" w:before="320"/>
      </w:pPr>
      <w:r>
        <w:t xml:space="preserve">2. Concept Bottleneck Models and Concept Embedding Models</w:t>
      </w:r>
    </w:p>
    <w:p>
      <w:pPr>
        <w:spacing w:after="140"/>
        <w:jc w:val="both"/>
      </w:pPr>
      <w:r>
        <w:rPr>
          <w:sz w:val="21"/>
          <w:szCs w:val="21"/>
        </w:rPr>
        <w:t xml:space="preserve">This is the architectural alternative: instead of explaining a model after training, you change what the model is trained to predict.</w:t>
      </w:r>
    </w:p>
    <w:p>
      <w:pPr>
        <w:pStyle w:val="Heading2"/>
        <w:spacing w:after="100" w:before="220"/>
      </w:pPr>
      <w:r>
        <w:t xml:space="preserve">2.1  The Formalism</w:t>
      </w:r>
    </w:p>
    <w:p>
      <w:pPr>
        <w:spacing w:after="140"/>
        <w:jc w:val="both"/>
      </w:pPr>
      <w:r>
        <w:rPr>
          <w:sz w:val="21"/>
          <w:szCs w:val="21"/>
        </w:rPr>
        <w:t xml:space="preserve">A Concept Bottleneck Model (CBM) factors prediction into two learned functions: a concept encoder </w:t>
      </w:r>
      <w:r>
        <w:rPr>
          <w:b w:val="false"/>
          <w:bCs w:val="false"/>
          <w:i/>
          <w:iCs/>
          <w:sz w:val="21"/>
          <w:szCs w:val="21"/>
        </w:rPr>
        <w:t xml:space="preserve">g: X → C</w:t>
      </w:r>
      <w:r>
        <w:rPr>
          <w:sz w:val="21"/>
          <w:szCs w:val="21"/>
        </w:rPr>
        <w:t xml:space="preserve"> that maps raw input (here, the transaction embedding) to a small set of </w:t>
      </w:r>
      <w:r>
        <w:rPr>
          <w:b w:val="false"/>
          <w:bCs w:val="false"/>
          <w:i/>
          <w:iCs/>
          <w:sz w:val="21"/>
          <w:szCs w:val="21"/>
        </w:rPr>
        <w:t xml:space="preserve">k</w:t>
      </w:r>
      <w:r>
        <w:rPr>
          <w:sz w:val="21"/>
          <w:szCs w:val="21"/>
        </w:rPr>
        <w:t xml:space="preserve"> human-named concepts, and a label predictor </w:t>
      </w:r>
      <w:r>
        <w:rPr>
          <w:b w:val="false"/>
          <w:bCs w:val="false"/>
          <w:i/>
          <w:iCs/>
          <w:sz w:val="21"/>
          <w:szCs w:val="21"/>
        </w:rPr>
        <w:t xml:space="preserve">f: C → Y</w:t>
      </w:r>
      <w:r>
        <w:rPr>
          <w:sz w:val="21"/>
          <w:szCs w:val="21"/>
        </w:rPr>
        <w:t xml:space="preserve"> that maps those concepts to the final task — a churn score, a fraud flag. Training requires examples that carry not just the final label but also concept-level ground truth (e.g., a proxy label for “high cash-flow stability”), and the two functions can be trained sequentially, independently, or jointly.</w:t>
      </w:r>
    </w:p>
    <w:p>
      <w:pPr>
        <w:spacing w:after="140"/>
        <w:jc w:val="both"/>
      </w:pPr>
      <w:r>
        <w:rPr>
          <w:sz w:val="21"/>
          <w:szCs w:val="21"/>
        </w:rPr>
        <w:t xml:space="preserve">The property that distinguishes this from Section 1 is </w:t>
      </w:r>
      <w:r>
        <w:rPr>
          <w:b/>
          <w:bCs/>
          <w:i w:val="false"/>
          <w:iCs w:val="false"/>
          <w:sz w:val="21"/>
          <w:szCs w:val="21"/>
        </w:rPr>
        <w:t xml:space="preserve">intervention</w:t>
      </w:r>
      <w:r>
        <w:rPr>
          <w:sz w:val="21"/>
          <w:szCs w:val="21"/>
        </w:rPr>
        <w:t xml:space="preserve">: because the model genuinely routes its prediction through the concept values, a human can correct a mispredicted concept at test time — set the encoder's estimate to the true value — and the label predictor produces a new, real prediction reflecting that correction. Shapley values can tell you a factor mattered; a CBM lets you actually change it and see the consequence, which supports meaningful counterfactual reasoning (“if payment consistency were higher, the churn score would be X”) that a post-hoc decomposition cannot.</w:t>
      </w:r>
    </w:p>
    <w:p>
      <w:pPr>
        <w:pStyle w:val="Heading2"/>
        <w:spacing w:after="100" w:before="220"/>
      </w:pPr>
      <w:r>
        <w:t xml:space="preserve">2.2  The Accuracy-vs-Interpretability Trade-Off, and CEM's Fix</w:t>
      </w:r>
    </w:p>
    <w:p>
      <w:pPr>
        <w:spacing w:after="140"/>
        <w:jc w:val="both"/>
      </w:pPr>
      <w:r>
        <w:rPr>
          <w:sz w:val="21"/>
          <w:szCs w:val="21"/>
        </w:rPr>
        <w:t xml:space="preserve">Vanilla CBMs have a known weakness: forcing every prediction through a low-capacity bottleneck of scalar concept values costs task accuracy whenever the concept set is an incomplete description of the task — the common case, since real concept labels (like a good “cash-flow stability” proxy) are rarely complete or fully accurate. Simply widening the bottleneck with extra unsupervised dimensions recovers some accuracy but, as follow-up research demonstrated, measurably degrades the model's responsiveness to interventions and muddies the interpretability of the learned bottleneck — undermining the whole point.</w:t>
      </w:r>
    </w:p>
    <w:p>
      <w:pPr>
        <w:spacing w:after="140"/>
        <w:jc w:val="both"/>
      </w:pPr>
      <w:r>
        <w:rPr>
          <w:sz w:val="21"/>
          <w:szCs w:val="21"/>
        </w:rPr>
        <w:t xml:space="preserve">Concept Embedding Models (CEM), introduced in 2022, resolve this by representing each concept not as a single scalar but as a </w:t>
      </w:r>
      <w:r>
        <w:rPr>
          <w:b/>
          <w:bCs/>
          <w:i w:val="false"/>
          <w:iCs w:val="false"/>
          <w:sz w:val="21"/>
          <w:szCs w:val="21"/>
        </w:rPr>
        <w:t xml:space="preserve">learned high-dimensional embedding</w:t>
      </w:r>
      <w:r>
        <w:rPr>
          <w:sz w:val="21"/>
          <w:szCs w:val="21"/>
        </w:rPr>
        <w:t xml:space="preserve"> — giving each concept its own supervised capacity without breaking the concept structure. Reported results: CEMs attain task accuracy that is better than or competitive with standard black-box neural networks trained without any concept supervision at all; the learned concept representations capture meaningful semantics beyond their ground-truth labels; test-time interventions produce a larger accuracy improvement than in standard CBMs; and the approach holds up when concept supervision is scarce — exactly the real-world condition (partial, noisy proxy labels for concepts like “engagement momentum”) this use case would actually face.</w:t>
      </w:r>
    </w:p>
    <w:p>
      <w:pPr>
        <w:pStyle w:val="Heading2"/>
        <w:spacing w:after="100" w:before="220"/>
      </w:pPr>
      <w:r>
        <w:t xml:space="preserve">2.3  Applying This to an Embedding Pipeline</w:t>
      </w:r>
    </w:p>
    <w:p>
      <w:pPr>
        <w:spacing w:after="140"/>
        <w:jc w:val="both"/>
      </w:pPr>
      <w:r>
        <w:rPr>
          <w:sz w:val="21"/>
          <w:szCs w:val="21"/>
        </w:rPr>
        <w:t xml:space="preserve">This is the more ambitious version of the same idea explored earlier with Varimax-rotated PCA factors: instead of discovering factors after the fact by rotating a trained embedding space, you define the factors up front (payment reliability, cash-flow stability, engagement momentum, and so on), gather even partial or weak proxy labels for them, and train a CEM so the transaction embedding is explicitly decoded into those named concepts before the churn or fraud prediction is made. The payoff beyond a nicer scorecard: a relationship manager or analyst tool could let someone adjust a concept and see a live, model-consistent updated prediction — a genuine what-if capability, not an approximation — while everything delivered outward remains the same Tier 1/2 score or insight already contemplated in the broader product strategy.</w:t>
      </w:r>
    </w:p>
    <w:p>
      <w:pPr>
        <w:pStyle w:val="Heading2"/>
        <w:spacing w:after="100" w:before="220"/>
      </w:pPr>
      <w:r>
        <w:t xml:space="preserve">2.4  What to Watch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This path needs concept-level labels or credible proxies for training, which Section 1's approach does not — that's real data-collection and labeling work before the first model is trained.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It's a bigger architectural commitment: concepts are baked into the model, not layered on top, so adding or renaming a concept later means retraining rather than re-running a decomposition.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This remains an active research area (CEM is a 2022 architecture with follow-on work still refining it, per the concept-embedding and uncertainty-aware CBM literature) rather than an off-the-shelf production tool the way TreeSHAP-based scorecarding already is.</w:t>
      </w:r>
    </w:p>
    <w:p>
      <w:pPr>
        <w:pStyle w:val="Heading1"/>
        <w:spacing w:after="140" w:before="320"/>
      </w:pPr>
      <w:r>
        <w:t xml:space="preserve">3. Side-by-Side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60"/>
        <w:gridCol w:w="2260"/>
        <w:gridCol w:w="2260"/>
        <w:gridCol w:w="178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22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Needs concept-level labels?</w:t>
            </w:r>
          </w:p>
        </w:tc>
        <w:tc>
          <w:tcPr>
            <w:tcW w:type="dxa" w:w="22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Works on top of existing CatBoost/XGBoost models?</w:t>
            </w:r>
          </w:p>
        </w:tc>
        <w:tc>
          <w:tcPr>
            <w:tcW w:type="dxa" w:w="22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Supports true “what-if” intervention?</w:t>
            </w:r>
          </w:p>
        </w:tc>
        <w:tc>
          <w:tcPr>
            <w:tcW w:type="dxa" w:w="178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Maturity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Shapley-value point scorecard (SHAPoint-style)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— fully post-hoc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— wraps a trained model, no retraining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— explains what happened, not what would happen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Production-ready; TreeSHAP is standard tooling</w:t>
            </w:r>
          </w:p>
        </w:tc>
      </w:tr>
      <w:tr>
        <w:tc>
          <w:tcPr>
            <w:tcW w:type="dxa" w:w="2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Concept Bottleneck / Concept Embedding Models</w:t>
            </w:r>
          </w:p>
        </w:tc>
        <w:tc>
          <w:tcPr>
            <w:tcW w:type="dxa" w:w="22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— needs at least partial/proxy concept labels</w:t>
            </w:r>
          </w:p>
        </w:tc>
        <w:tc>
          <w:tcPr>
            <w:tcW w:type="dxa" w:w="22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— concepts must be trained into the architecture</w:t>
            </w:r>
          </w:p>
        </w:tc>
        <w:tc>
          <w:tcPr>
            <w:tcW w:type="dxa" w:w="22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— correcting a concept genuinely changes the prediction</w:t>
            </w:r>
          </w:p>
        </w:tc>
        <w:tc>
          <w:tcPr>
            <w:tcW w:type="dxa" w:w="178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research area; CEM (2022) is the current reference architecture</w:t>
            </w:r>
          </w:p>
        </w:tc>
      </w:tr>
    </w:tbl>
    <w:p>
      <w:pPr>
        <w:pStyle w:val="Heading1"/>
        <w:spacing w:after="140" w:before="320"/>
      </w:pPr>
      <w:r>
        <w:t xml:space="preserve">References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Meirman, T. D., Shapira, B., Dagan, N., &amp; Rokach, L. S. (2025). SHAPoint: Task-Agnostic, Efficient, and Interpretable Point-Based Risk Scoring via Shapley Values. arXiv:2509.23756.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A novel framework for enhancing transparency in credit scoring: Leveraging Shapley values for interpretable credit scorecards. PLOS ONE, 19(8), 2024. (PMC11318906)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Espinosa Zarlenga, M., et al. (2022). Concept Embedding Models: Beyond the Accuracy-Explainability Trade-Off. arXiv:2209.09056 (NeurIPS 2022).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Koh, P. W., et al. (2020). Concept Bottleneck Models. Proceedings of ICML 2020 (foundational CBM architecture referenced by the CEM paper).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Di Giovanni, F. Mastering Credit Scorecard Development, Part 2: From Data to Risk-Driven Insights. Medium (WOE/PDO scorecard methodology).</w:t>
      </w:r>
    </w:p>
    <w:p>
      <w:pPr>
        <w:spacing w:after="100"/>
        <w:ind w:left="360" w:hanging="360"/>
      </w:pPr>
      <w:r>
        <w:rPr>
          <w:sz w:val="20"/>
          <w:szCs w:val="20"/>
        </w:rPr>
        <w:t xml:space="preserve">Zest AI. Model Explainability, Re-explained (industry framing of native vs. post-hoc explainability for regulated scoring).</w:t>
      </w:r>
    </w:p>
    <w:p>
      <w:pPr>
        <w:pStyle w:val="Heading1"/>
        <w:spacing w:after="140" w:before="320"/>
      </w:pPr>
      <w:r>
        <w:t xml:space="preserve">Note</w:t>
      </w:r>
    </w:p>
    <w:p>
      <w:pPr>
        <w:spacing w:after="140"/>
        <w:jc w:val="both"/>
      </w:pPr>
      <w:r>
        <w:rPr>
          <w:sz w:val="21"/>
          <w:szCs w:val="21"/>
        </w:rPr>
        <w:t xml:space="preserve">This is a technical reference for the data science and engineering teams evaluating these two approaches; it does not itself resolve the governance questions raised in Section 11 of the related legal discussion memo (July 17, 2026) about treating embeddings and derived factors as an internal-only asset. Either approach here still delivers only a score or insight outward — nothing here changes that operating principle.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i/>
        <w:iCs/>
        <w:color w:val="595959"/>
        <w:sz w:val="16"/>
        <w:szCs w:val="16"/>
      </w:rPr>
      <w:t xml:space="preserve">  |  Data, AI &amp; Analytics — Technical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Explainable Scorecards from Transaction Embeddings — Technical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2026-07-17T15:26:58.936Z</dcterms:created>
  <dcterms:modified xsi:type="dcterms:W3CDTF">2026-07-17T15:26:58.936Z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