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4E78"/>
          <w:sz w:val="40"/>
        </w:rPr>
        <w:t>PADD 3 Sour &amp; Heavy Crude Balance Model</w:t>
      </w:r>
    </w:p>
    <w:p>
      <w:r>
        <w:rPr>
          <w:b w:val="0"/>
          <w:i/>
          <w:color w:val="5A6B7B"/>
          <w:sz w:val="22"/>
        </w:rPr>
        <w:t>Handoff guide for whoever picks this up next — June 2026</w:t>
      </w:r>
    </w:p>
    <w:p>
      <w:pPr>
        <w:pStyle w:val="Heading1"/>
      </w:pPr>
      <w:r>
        <w:t>What this thing actually does</w:t>
      </w:r>
    </w:p>
    <w:p>
      <w:r>
        <w:rPr>
          <w:b w:val="0"/>
          <w:i w:val="0"/>
          <w:sz w:val="21"/>
        </w:rPr>
        <w:t>Short version: it answers the question “is the Gulf Coast short or long on sour and heavy crude this month?”</w:t>
      </w:r>
    </w:p>
    <w:p>
      <w:r>
        <w:rPr>
          <w:b w:val="0"/>
          <w:i w:val="0"/>
          <w:sz w:val="21"/>
        </w:rPr>
        <w:t>It adds up every barrel of sour/heavy crude that shows up in PADD 3 (Gulf of Mexico production, imports, pipeline barrels from Cushing, SPR releases), subtracts what leaves (exports), and compares that to how much the big Gulf Coast refineries want to run. The difference is the balance. Negative = the region is short and has to bid barrels away from someone else (prices firm up). Positive = barrels are looking for a home (prices soften).</w:t>
      </w:r>
    </w:p>
    <w:p>
      <w:r>
        <w:rPr>
          <w:b w:val="0"/>
          <w:i w:val="0"/>
          <w:sz w:val="21"/>
        </w:rPr>
        <w:t>Everything lives in one workbook: PADD3_Sour_Supply_Demand_2026.xlsx. It is deliberately plain Excel — no macros, no add-ins, no Python required to open or use it. That was a hard requirement: it has to run on any company laptop.</w:t>
      </w:r>
    </w:p>
    <w:p>
      <w:pPr>
        <w:pStyle w:val="Heading1"/>
      </w:pPr>
      <w:r>
        <w:t>The files in the folder</w:t>
      </w:r>
    </w:p>
    <w:p>
      <w:pPr>
        <w:pStyle w:val="ListBullet"/>
      </w:pPr>
      <w:r>
        <w:rPr>
          <w:rFonts w:ascii="Arial" w:hAnsi="Arial"/>
          <w:b/>
          <w:sz w:val="21"/>
        </w:rPr>
        <w:t xml:space="preserve">PADD3_Sour_Supply_Demand_2026.xlsx — </w:t>
      </w:r>
      <w:r>
        <w:rPr>
          <w:rFonts w:ascii="Arial" w:hAnsi="Arial"/>
          <w:sz w:val="21"/>
        </w:rPr>
        <w:t>the model. The only file you really need.</w:t>
      </w:r>
    </w:p>
    <w:p>
      <w:pPr>
        <w:pStyle w:val="ListBullet"/>
      </w:pPr>
      <w:r>
        <w:rPr>
          <w:rFonts w:ascii="Arial" w:hAnsi="Arial"/>
          <w:b/>
          <w:sz w:val="21"/>
        </w:rPr>
        <w:t xml:space="preserve">build_model.py — </w:t>
      </w:r>
      <w:r>
        <w:rPr>
          <w:rFonts w:ascii="Arial" w:hAnsi="Arial"/>
          <w:sz w:val="21"/>
        </w:rPr>
        <w:t>Python script that rebuilds the workbook from scratch. You don't need it for day-to-day updates — it exists so big structural changes don't have to be done by hand. If you don't know Python, ignore it and edit the workbook directly.</w:t>
      </w:r>
    </w:p>
    <w:p>
      <w:pPr>
        <w:pStyle w:val="ListBullet"/>
      </w:pPr>
      <w:r>
        <w:rPr>
          <w:rFonts w:ascii="Arial" w:hAnsi="Arial"/>
          <w:b/>
          <w:sz w:val="21"/>
        </w:rPr>
        <w:t xml:space="preserve">data_imports.xlsx / data_exports.xlsx — </w:t>
      </w:r>
      <w:r>
        <w:rPr>
          <w:rFonts w:ascii="Arial" w:hAnsi="Arial"/>
          <w:sz w:val="21"/>
        </w:rPr>
        <w:t>the import and export volumes by grade, by month, from our market data platform. When you pull fresh data, overwrite these two files (same layout: one date column, one column per grade) and re-run the script — or just type the new numbers straight into the workbook.</w:t>
      </w:r>
    </w:p>
    <w:p>
      <w:pPr>
        <w:pStyle w:val="ListBullet"/>
      </w:pPr>
      <w:r>
        <w:rPr>
          <w:rFonts w:ascii="Arial" w:hAnsi="Arial"/>
          <w:b/>
          <w:sz w:val="21"/>
        </w:rPr>
        <w:t xml:space="preserve">eia_*.xls — </w:t>
      </w:r>
      <w:r>
        <w:rPr>
          <w:rFonts w:ascii="Arial" w:hAnsi="Arial"/>
          <w:sz w:val="21"/>
        </w:rPr>
        <w:t>raw EIA history downloads used for the 10-year seasonal tab. Keep them; they document where the seasonal numbers came from.</w:t>
      </w:r>
    </w:p>
    <w:p>
      <w:pPr>
        <w:pStyle w:val="ListBullet"/>
      </w:pPr>
      <w:r>
        <w:rPr>
          <w:rFonts w:ascii="Arial" w:hAnsi="Arial"/>
          <w:b/>
          <w:sz w:val="21"/>
        </w:rPr>
        <w:t xml:space="preserve">the _BACKUP_ files — </w:t>
      </w:r>
      <w:r>
        <w:rPr>
          <w:rFonts w:ascii="Arial" w:hAnsi="Arial"/>
          <w:sz w:val="21"/>
        </w:rPr>
        <w:t>snapshot from before the June rework, in case you need to compare.</w:t>
      </w:r>
    </w:p>
    <w:p>
      <w:pPr>
        <w:pStyle w:val="Heading1"/>
      </w:pPr>
      <w:r>
        <w:t>How the workbook is laid out</w:t>
      </w:r>
    </w:p>
    <w:p>
      <w:r>
        <w:rPr>
          <w:b w:val="0"/>
          <w:i w:val="0"/>
          <w:sz w:val="21"/>
        </w:rPr>
        <w:t>Nine tabs, grouped into colored sections so you always know where you are: grey DATA tabs are shared inputs that feed both balances, blue SOUR tabs are the sour story, red HEAVY tabs are the heavy story, and the teal tab is reference history.</w:t>
      </w:r>
    </w:p>
    <w:p>
      <w:pPr>
        <w:pStyle w:val="ListBullet"/>
      </w:pPr>
      <w:r>
        <w:rPr>
          <w:rFonts w:ascii="Arial" w:hAnsi="Arial"/>
          <w:b/>
          <w:sz w:val="21"/>
        </w:rPr>
        <w:t xml:space="preserve">Read Me &amp; Sources — </w:t>
      </w:r>
      <w:r>
        <w:rPr>
          <w:rFonts w:ascii="Arial" w:hAnsi="Arial"/>
          <w:sz w:val="21"/>
        </w:rPr>
        <w:t>color legend and the full data source map.</w:t>
      </w:r>
    </w:p>
    <w:p>
      <w:pPr>
        <w:pStyle w:val="ListBullet"/>
      </w:pPr>
      <w:r>
        <w:rPr>
          <w:rFonts w:ascii="Arial" w:hAnsi="Arial"/>
          <w:b/>
          <w:sz w:val="21"/>
        </w:rPr>
        <w:t xml:space="preserve">SOUR - Supply — </w:t>
      </w:r>
      <w:r>
        <w:rPr>
          <w:rFonts w:ascii="Arial" w:hAnsi="Arial"/>
          <w:sz w:val="21"/>
        </w:rPr>
        <w:t>the supply build-up. GoM production by grade at the top, then sour imports, pipeline barrels, SPR, minus exports. The yellow NET SOUR SUPPLY row is the headline.</w:t>
      </w:r>
    </w:p>
    <w:p>
      <w:pPr>
        <w:pStyle w:val="ListBullet"/>
      </w:pPr>
      <w:r>
        <w:rPr>
          <w:rFonts w:ascii="Arial" w:hAnsi="Arial"/>
          <w:b/>
          <w:sz w:val="21"/>
        </w:rPr>
        <w:t xml:space="preserve">DATA - Imports &amp; Exports — </w:t>
      </w:r>
      <w:r>
        <w:rPr>
          <w:rFonts w:ascii="Arial" w:hAnsi="Arial"/>
          <w:sz w:val="21"/>
        </w:rPr>
        <w:t>every grade with monthly volumes and a Sour?/Heavy? flag (1 or 0). The SUMPRODUCT totals under each block feed everything else. Think a grade is misclassified? Flip its flag and the whole model updates.</w:t>
      </w:r>
    </w:p>
    <w:p>
      <w:pPr>
        <w:pStyle w:val="ListBullet"/>
      </w:pPr>
      <w:r>
        <w:rPr>
          <w:rFonts w:ascii="Arial" w:hAnsi="Arial"/>
          <w:b/>
          <w:sz w:val="21"/>
        </w:rPr>
        <w:t xml:space="preserve">DATA - Pipelines — </w:t>
      </w:r>
      <w:r>
        <w:rPr>
          <w:rFonts w:ascii="Arial" w:hAnsi="Arial"/>
          <w:sz w:val="21"/>
        </w:rPr>
        <w:t>two sections. A: offshore gathering (Mars, Poseidon, CHOPS…). B: the routes bringing Canadian and midcontinent crude to the Gulf — Enbridge Mainline into Flanagan South and Spearhead, Keystone into Steele City, then Seaway, Marketlink and rail out of Cushing. Only the Cushing-to-Gulf legs count as supply; the feeders are listed for capacity context. The check row should sit near zero against EIA's reported total.</w:t>
      </w:r>
    </w:p>
    <w:p>
      <w:pPr>
        <w:pStyle w:val="ListBullet"/>
      </w:pPr>
      <w:r>
        <w:rPr>
          <w:rFonts w:ascii="Arial" w:hAnsi="Arial"/>
          <w:b/>
          <w:sz w:val="21"/>
        </w:rPr>
        <w:t xml:space="preserve">DATA - Refiner Demand — </w:t>
      </w:r>
      <w:r>
        <w:rPr>
          <w:rFonts w:ascii="Arial" w:hAnsi="Arial"/>
          <w:sz w:val="21"/>
        </w:rPr>
        <w:t>the demand engine. One row per refinery (17 now), CDU and coker capacity from EIA, monthly utilization, and the computed sour/heavy runs. The demand range block below the table is what the balances read.</w:t>
      </w:r>
    </w:p>
    <w:p>
      <w:pPr>
        <w:pStyle w:val="ListBullet"/>
      </w:pPr>
      <w:r>
        <w:rPr>
          <w:rFonts w:ascii="Arial" w:hAnsi="Arial"/>
          <w:b/>
          <w:sz w:val="21"/>
        </w:rPr>
        <w:t xml:space="preserve">HEAVY - Refiners — </w:t>
      </w:r>
      <w:r>
        <w:rPr>
          <w:rFonts w:ascii="Arial" w:hAnsi="Arial"/>
          <w:sz w:val="21"/>
        </w:rPr>
        <w:t>a heavy-only view of the same refineries, plus charts. It links from Refiner Demand — never edit numbers here; edit them there.</w:t>
      </w:r>
    </w:p>
    <w:p>
      <w:pPr>
        <w:pStyle w:val="ListBullet"/>
      </w:pPr>
      <w:r>
        <w:rPr>
          <w:rFonts w:ascii="Arial" w:hAnsi="Arial"/>
          <w:b/>
          <w:sz w:val="21"/>
        </w:rPr>
        <w:t xml:space="preserve">SOUR - Balance — </w:t>
      </w:r>
      <w:r>
        <w:rPr>
          <w:rFonts w:ascii="Arial" w:hAnsi="Arial"/>
          <w:sz w:val="21"/>
        </w:rPr>
        <w:t>sour supply vs sour demand, month by month, with memo rows for each moving part.</w:t>
      </w:r>
    </w:p>
    <w:p>
      <w:pPr>
        <w:pStyle w:val="ListBullet"/>
      </w:pPr>
      <w:r>
        <w:rPr>
          <w:rFonts w:ascii="Arial" w:hAnsi="Arial"/>
          <w:b/>
          <w:sz w:val="21"/>
        </w:rPr>
        <w:t xml:space="preserve">HEAVY - Balance — </w:t>
      </w:r>
      <w:r>
        <w:rPr>
          <w:rFonts w:ascii="Arial" w:hAnsi="Arial"/>
          <w:sz w:val="21"/>
        </w:rPr>
        <w:t>same for heavy.</w:t>
      </w:r>
    </w:p>
    <w:p>
      <w:pPr>
        <w:pStyle w:val="ListBullet"/>
      </w:pPr>
      <w:r>
        <w:rPr>
          <w:rFonts w:ascii="Arial" w:hAnsi="Arial"/>
          <w:b/>
          <w:sz w:val="21"/>
        </w:rPr>
        <w:t xml:space="preserve">Seasonal Normal (10-yr) — </w:t>
      </w:r>
      <w:r>
        <w:rPr>
          <w:rFonts w:ascii="Arial" w:hAnsi="Arial"/>
          <w:sz w:val="21"/>
        </w:rPr>
        <w:t>ten years of EIA history (2016–2025) averaged by calendar month, so you know what a normal January or July looks like before deciding whether this year is weird.</w:t>
      </w:r>
    </w:p>
    <w:p>
      <w:pPr>
        <w:pStyle w:val="Heading1"/>
      </w:pPr>
      <w:r>
        <w:t>The math, in plain English</w:t>
      </w:r>
    </w:p>
    <w:p>
      <w:pPr>
        <w:pStyle w:val="Heading2"/>
      </w:pPr>
      <w:r>
        <w:t>Demand (the part worth understanding properly)</w:t>
      </w:r>
    </w:p>
    <w:p>
      <w:r>
        <w:rPr>
          <w:b w:val="0"/>
          <w:i w:val="0"/>
          <w:sz w:val="21"/>
        </w:rPr>
        <w:t>The key idea: a refinery's appetite for heavy crude is set by its coker, not by its overall size. The coker is the unit that digests the heavy, tar-like bottom of the barrel; without coking capacity you physically can't run much heavy crude. So heavy demand is anchored to coker capacity:</w:t>
      </w:r>
    </w:p>
    <w:p>
      <w:pPr>
        <w:ind w:left="432"/>
        <w:shd w:val="clear" w:fill="F2F4F7"/>
      </w:pPr>
      <w:r>
        <w:rPr>
          <w:rFonts w:ascii="Consolas" w:hAnsi="Consolas"/>
          <w:sz w:val="19"/>
        </w:rPr>
        <w:t>Heavy run (max) = MIN( CDU × utilization × 95% ,  Coker × 95% ÷ 38% )</w:t>
      </w:r>
    </w:p>
    <w:p>
      <w:r>
        <w:rPr>
          <w:b w:val="0"/>
          <w:i w:val="0"/>
          <w:sz w:val="21"/>
        </w:rPr>
        <w:t>Read the second term like this: if a coker can eat 100 kbd of resid, and heavy crude is about 38% resid, then keeping that coker full takes roughly 100 ÷ 0.38 ≈ 260 kbd of heavy crude. The MIN just stops a huge coker from implying more crude than the refinery can physically distill.</w:t>
      </w:r>
    </w:p>
    <w:p>
      <w:r>
        <w:rPr>
          <w:b w:val="0"/>
          <w:i w:val="0"/>
          <w:sz w:val="21"/>
        </w:rPr>
        <w:t>That gives a maximum. Real refineries don't always max their cokers, so the model carries a range: HIGH is the coker max, LOW is HIGH times the “LOW factor” cell (currently 30%), and the midpoint is what the balances use. If demand looks too hot or too cold, that one yellow cell is the dial.</w:t>
      </w:r>
    </w:p>
    <w:p>
      <w:pPr>
        <w:ind w:left="432"/>
        <w:shd w:val="clear" w:fill="F2F4F7"/>
      </w:pPr>
      <w:r>
        <w:rPr>
          <w:rFonts w:ascii="Consolas" w:hAnsi="Consolas"/>
          <w:sz w:val="19"/>
        </w:rPr>
        <w:t>Heavy demand (mid) = (HIGH + LOW) / 2</w:t>
      </w:r>
    </w:p>
    <w:p>
      <w:r>
        <w:rPr>
          <w:b w:val="0"/>
          <w:i w:val="0"/>
          <w:sz w:val="21"/>
        </w:rPr>
        <w:t>Sour demand is heavy demand plus the medium-sour share of whatever's left of the barrel. Important detail: the LOW-factor haircut only applies to the heavy part. Medium sour (Mars, Arab Light types) isn't limited by cokers, so it doesn't get cut:</w:t>
      </w:r>
    </w:p>
    <w:p>
      <w:pPr>
        <w:ind w:left="432"/>
        <w:shd w:val="clear" w:fill="F2F4F7"/>
      </w:pPr>
      <w:r>
        <w:rPr>
          <w:rFonts w:ascii="Consolas" w:hAnsi="Consolas"/>
          <w:sz w:val="19"/>
        </w:rPr>
        <w:t>Sour demand = Heavy(mid) + 45% × (Crude runs − Heavy(mid))</w:t>
      </w:r>
    </w:p>
    <w:p>
      <w:pPr>
        <w:pStyle w:val="Heading2"/>
      </w:pPr>
      <w:r>
        <w:t>Supply</w:t>
      </w:r>
    </w:p>
    <w:p>
      <w:pPr>
        <w:ind w:left="432"/>
        <w:shd w:val="clear" w:fill="F2F4F7"/>
      </w:pPr>
      <w:r>
        <w:rPr>
          <w:rFonts w:ascii="Consolas" w:hAnsi="Consolas"/>
          <w:sz w:val="19"/>
        </w:rPr>
        <w:t>Net sour supply = GoM sour + sour imports + 80% × pipeline + 60% × SPR release − sour exports</w:t>
      </w:r>
    </w:p>
    <w:p>
      <w:pPr>
        <w:ind w:left="432"/>
        <w:shd w:val="clear" w:fill="F2F4F7"/>
      </w:pPr>
      <w:r>
        <w:rPr>
          <w:rFonts w:ascii="Consolas" w:hAnsi="Consolas"/>
          <w:sz w:val="19"/>
        </w:rPr>
        <w:t>Net heavy supply = heavy imports + 70% × pipeline − heavy exports</w:t>
      </w:r>
    </w:p>
    <w:p>
      <w:r>
        <w:rPr>
          <w:b w:val="0"/>
          <w:i w:val="0"/>
          <w:sz w:val="21"/>
        </w:rPr>
        <w:t>GoM production contributes nothing to heavy because Gulf grades are medium sour (API 27–35), not true heavy. The pipeline percentages reflect that the Cushing barrel is mostly Canadian heavy blended with midcon light. SPR only touches the sour balance — that was deliberate.</w:t>
      </w:r>
    </w:p>
    <w:p>
      <w:pPr>
        <w:pStyle w:val="Heading2"/>
      </w:pPr>
      <w:r>
        <w:t>Balance</w:t>
      </w:r>
    </w:p>
    <w:p>
      <w:pPr>
        <w:ind w:left="432"/>
        <w:shd w:val="clear" w:fill="F2F4F7"/>
      </w:pPr>
      <w:r>
        <w:rPr>
          <w:rFonts w:ascii="Consolas" w:hAnsi="Consolas"/>
          <w:sz w:val="19"/>
        </w:rPr>
        <w:t>Balance = Net supply − Demand (mid)</w:t>
      </w:r>
    </w:p>
    <w:p>
      <w:pPr>
        <w:pStyle w:val="Heading1"/>
      </w:pPr>
      <w:r>
        <w:t>The assumptions (and where to change them)</w:t>
      </w:r>
    </w:p>
    <w:p>
      <w:r>
        <w:rPr>
          <w:b w:val="0"/>
          <w:i w:val="0"/>
          <w:sz w:val="21"/>
        </w:rPr>
        <w:t>Rule one of this workbook: blue text is an input you may change, black text is a formula you shouldn't touch, yellow fill means “a human chose this number — challenge it.” The yellow cells that matter:</w:t>
      </w:r>
    </w:p>
    <w:p>
      <w:pPr>
        <w:pStyle w:val="ListBullet"/>
      </w:pPr>
      <w:r>
        <w:rPr>
          <w:rFonts w:ascii="Arial" w:hAnsi="Arial"/>
          <w:b/>
          <w:sz w:val="21"/>
        </w:rPr>
        <w:t xml:space="preserve">Coker utilization, 95% (Refiner Demand) — </w:t>
      </w:r>
      <w:r>
        <w:rPr>
          <w:rFonts w:ascii="Arial" w:hAnsi="Arial"/>
          <w:sz w:val="21"/>
        </w:rPr>
        <w:t>how hard the cokers run.</w:t>
      </w:r>
    </w:p>
    <w:p>
      <w:pPr>
        <w:pStyle w:val="ListBullet"/>
      </w:pPr>
      <w:r>
        <w:rPr>
          <w:rFonts w:ascii="Arial" w:hAnsi="Arial"/>
          <w:b/>
          <w:sz w:val="21"/>
        </w:rPr>
        <w:t xml:space="preserve">Resid yield, 38% (Refiner Demand) — </w:t>
      </w:r>
      <w:r>
        <w:rPr>
          <w:rFonts w:ascii="Arial" w:hAnsi="Arial"/>
          <w:sz w:val="21"/>
        </w:rPr>
        <w:t>coker feed per barrel of heavy crude. The biggest single lever on heavy demand — nudging 0.38 to 0.45 takes heavy demand down meaningfully.</w:t>
      </w:r>
    </w:p>
    <w:p>
      <w:pPr>
        <w:pStyle w:val="ListBullet"/>
      </w:pPr>
      <w:r>
        <w:rPr>
          <w:rFonts w:ascii="Arial" w:hAnsi="Arial"/>
          <w:b/>
          <w:sz w:val="21"/>
        </w:rPr>
        <w:t xml:space="preserve">Medium-sour share, 45% (Refiner Demand) — </w:t>
      </w:r>
      <w:r>
        <w:rPr>
          <w:rFonts w:ascii="Arial" w:hAnsi="Arial"/>
          <w:sz w:val="21"/>
        </w:rPr>
        <w:t>sour content of the non-heavy part of the slate.</w:t>
      </w:r>
    </w:p>
    <w:p>
      <w:pPr>
        <w:pStyle w:val="ListBullet"/>
      </w:pPr>
      <w:r>
        <w:rPr>
          <w:rFonts w:ascii="Arial" w:hAnsi="Arial"/>
          <w:b/>
          <w:sz w:val="21"/>
        </w:rPr>
        <w:t xml:space="preserve">LOW factor, 30% (Refiner Demand) — </w:t>
      </w:r>
      <w:r>
        <w:rPr>
          <w:rFonts w:ascii="Arial" w:hAnsi="Arial"/>
          <w:sz w:val="21"/>
        </w:rPr>
        <w:t>sets the bottom of the demand range; balances use the midpoint.</w:t>
      </w:r>
    </w:p>
    <w:p>
      <w:pPr>
        <w:pStyle w:val="ListBullet"/>
      </w:pPr>
      <w:r>
        <w:rPr>
          <w:rFonts w:ascii="Arial" w:hAnsi="Arial"/>
          <w:b/>
          <w:sz w:val="21"/>
        </w:rPr>
        <w:t xml:space="preserve">Pipeline sour 80% / heavy 70% (Supply, Heavy Balance) — </w:t>
      </w:r>
      <w:r>
        <w:rPr>
          <w:rFonts w:ascii="Arial" w:hAnsi="Arial"/>
          <w:sz w:val="21"/>
        </w:rPr>
        <w:t>what fraction of the Cushing barrel is sour/heavy. Anything under ~30 API counts as heavy here. Sour share must always be at least the heavy share — all heavy is sour. (We had that backwards once. It's fixed.)</w:t>
      </w:r>
    </w:p>
    <w:p>
      <w:pPr>
        <w:pStyle w:val="ListBullet"/>
      </w:pPr>
      <w:r>
        <w:rPr>
          <w:rFonts w:ascii="Arial" w:hAnsi="Arial"/>
          <w:b/>
          <w:sz w:val="21"/>
        </w:rPr>
        <w:t xml:space="preserve">SPR sour share, 60% (Supply) — </w:t>
      </w:r>
      <w:r>
        <w:rPr>
          <w:rFonts w:ascii="Arial" w:hAnsi="Arial"/>
          <w:sz w:val="21"/>
        </w:rPr>
        <w:t>DOE's own number — the reserve is designed at roughly 60% sour / 40% sweet.</w:t>
      </w:r>
    </w:p>
    <w:p>
      <w:pPr>
        <w:pStyle w:val="ListBullet"/>
      </w:pPr>
      <w:r>
        <w:rPr>
          <w:rFonts w:ascii="Arial" w:hAnsi="Arial"/>
          <w:b/>
          <w:sz w:val="21"/>
        </w:rPr>
        <w:t xml:space="preserve">Sour?/Heavy? flags (Imports &amp; Exports) — </w:t>
      </w:r>
      <w:r>
        <w:rPr>
          <w:rFonts w:ascii="Arial" w:hAnsi="Arial"/>
          <w:sz w:val="21"/>
        </w:rPr>
        <w:t>per-grade judgment calls from typical assay. Flip any you disagree with.</w:t>
      </w:r>
    </w:p>
    <w:p>
      <w:pPr>
        <w:pStyle w:val="ListBullet"/>
      </w:pPr>
      <w:r>
        <w:rPr>
          <w:rFonts w:ascii="Arial" w:hAnsi="Arial"/>
          <w:b/>
          <w:sz w:val="21"/>
        </w:rPr>
        <w:t xml:space="preserve">Refinery utilizations (Refiner Demand) — </w:t>
      </w:r>
      <w:r>
        <w:rPr>
          <w:rFonts w:ascii="Arial" w:hAnsi="Arial"/>
          <w:sz w:val="21"/>
        </w:rPr>
        <w:t>seeded from EIA's regional rate; override per refinery when you know about a turnaround.</w:t>
      </w:r>
    </w:p>
    <w:p>
      <w:pPr>
        <w:pStyle w:val="Heading1"/>
      </w:pPr>
      <w:r>
        <w:t>Where every number comes from</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fill="1F4E78"/>
          </w:tcPr>
          <w:p>
            <w:r>
              <w:rPr>
                <w:rFonts w:ascii="Arial" w:hAnsi="Arial"/>
                <w:b/>
                <w:color w:val="FFFFFF"/>
                <w:sz w:val="18"/>
              </w:rPr>
              <w:t>What</w:t>
            </w:r>
          </w:p>
        </w:tc>
        <w:tc>
          <w:tcPr>
            <w:tcW w:type="dxa" w:w="2592"/>
            <w:shd w:val="clear" w:fill="1F4E78"/>
          </w:tcPr>
          <w:p>
            <w:r>
              <w:rPr>
                <w:rFonts w:ascii="Arial" w:hAnsi="Arial"/>
                <w:b/>
                <w:color w:val="FFFFFF"/>
                <w:sz w:val="18"/>
              </w:rPr>
              <w:t>Source</w:t>
            </w:r>
          </w:p>
        </w:tc>
        <w:tc>
          <w:tcPr>
            <w:tcW w:type="dxa" w:w="4608"/>
            <w:shd w:val="clear" w:fill="1F4E78"/>
          </w:tcPr>
          <w:p>
            <w:r>
              <w:rPr>
                <w:rFonts w:ascii="Arial" w:hAnsi="Arial"/>
                <w:b/>
                <w:color w:val="FFFFFF"/>
                <w:sz w:val="18"/>
              </w:rPr>
              <w:t>How to get it</w:t>
            </w:r>
          </w:p>
        </w:tc>
      </w:tr>
      <w:tr>
        <w:tc>
          <w:tcPr>
            <w:tcW w:type="dxa" w:w="2160"/>
          </w:tcPr>
          <w:p>
            <w:r>
              <w:rPr>
                <w:rFonts w:ascii="Arial" w:hAnsi="Arial"/>
                <w:sz w:val="18"/>
              </w:rPr>
              <w:t>GoM offshore production</w:t>
            </w:r>
          </w:p>
        </w:tc>
        <w:tc>
          <w:tcPr>
            <w:tcW w:type="dxa" w:w="2592"/>
          </w:tcPr>
          <w:p>
            <w:r>
              <w:rPr>
                <w:rFonts w:ascii="Arial" w:hAnsi="Arial"/>
                <w:sz w:val="18"/>
              </w:rPr>
              <w:t>EIA series MCRFP3FM2</w:t>
            </w:r>
          </w:p>
        </w:tc>
        <w:tc>
          <w:tcPr>
            <w:tcW w:type="dxa" w:w="4608"/>
          </w:tcPr>
          <w:p>
            <w:r>
              <w:rPr>
                <w:rFonts w:ascii="Arial" w:hAnsi="Arial"/>
                <w:sz w:val="18"/>
              </w:rPr>
              <w:t>eia.gov/dnav/pet → crude production. Direct download: eia.gov/dnav/pet/hist_xls/MCRFP3FM2m.xls</w:t>
            </w:r>
          </w:p>
        </w:tc>
      </w:tr>
      <w:tr>
        <w:tc>
          <w:tcPr>
            <w:tcW w:type="dxa" w:w="2160"/>
            <w:shd w:val="clear" w:fill="F2F4F7"/>
          </w:tcPr>
          <w:p>
            <w:r>
              <w:rPr>
                <w:rFonts w:ascii="Arial" w:hAnsi="Arial"/>
                <w:sz w:val="18"/>
              </w:rPr>
              <w:t>Refinery utilization &amp; runs</w:t>
            </w:r>
          </w:p>
        </w:tc>
        <w:tc>
          <w:tcPr>
            <w:tcW w:type="dxa" w:w="2592"/>
            <w:shd w:val="clear" w:fill="F2F4F7"/>
          </w:tcPr>
          <w:p>
            <w:r>
              <w:rPr>
                <w:rFonts w:ascii="Arial" w:hAnsi="Arial"/>
                <w:sz w:val="18"/>
              </w:rPr>
              <w:t>EIA weekly/monthly (PADD 3)</w:t>
            </w:r>
          </w:p>
        </w:tc>
        <w:tc>
          <w:tcPr>
            <w:tcW w:type="dxa" w:w="4608"/>
            <w:shd w:val="clear" w:fill="F2F4F7"/>
          </w:tcPr>
          <w:p>
            <w:r>
              <w:rPr>
                <w:rFonts w:ascii="Arial" w:hAnsi="Arial"/>
                <w:sz w:val="18"/>
              </w:rPr>
              <w:t>eia.gov/dnav/pet → Refinery Utilization &amp; Capacity, Gulf Coast. Weekly fills the gap before monthly publishes.</w:t>
            </w:r>
          </w:p>
        </w:tc>
      </w:tr>
      <w:tr>
        <w:tc>
          <w:tcPr>
            <w:tcW w:type="dxa" w:w="2160"/>
          </w:tcPr>
          <w:p>
            <w:r>
              <w:rPr>
                <w:rFonts w:ascii="Arial" w:hAnsi="Arial"/>
                <w:sz w:val="18"/>
              </w:rPr>
              <w:t>CDU &amp; coker capacities</w:t>
            </w:r>
          </w:p>
        </w:tc>
        <w:tc>
          <w:tcPr>
            <w:tcW w:type="dxa" w:w="2592"/>
          </w:tcPr>
          <w:p>
            <w:r>
              <w:rPr>
                <w:rFonts w:ascii="Arial" w:hAnsi="Arial"/>
                <w:sz w:val="18"/>
              </w:rPr>
              <w:t>EIA Refinery Capacity Report (annual)</w:t>
            </w:r>
          </w:p>
        </w:tc>
        <w:tc>
          <w:tcPr>
            <w:tcW w:type="dxa" w:w="4608"/>
          </w:tcPr>
          <w:p>
            <w:r>
              <w:rPr>
                <w:rFonts w:ascii="Arial" w:hAnsi="Arial"/>
                <w:sz w:val="18"/>
              </w:rPr>
              <w:t>eia.gov/petroleum/refinerycapacity — Table 3: atmospheric distillation and delayed coking by refinery.</w:t>
            </w:r>
          </w:p>
        </w:tc>
      </w:tr>
      <w:tr>
        <w:tc>
          <w:tcPr>
            <w:tcW w:type="dxa" w:w="2160"/>
            <w:shd w:val="clear" w:fill="F2F4F7"/>
          </w:tcPr>
          <w:p>
            <w:r>
              <w:rPr>
                <w:rFonts w:ascii="Arial" w:hAnsi="Arial"/>
                <w:sz w:val="18"/>
              </w:rPr>
              <w:t>Imports &amp; exports by grade</w:t>
            </w:r>
          </w:p>
        </w:tc>
        <w:tc>
          <w:tcPr>
            <w:tcW w:type="dxa" w:w="2592"/>
            <w:shd w:val="clear" w:fill="F2F4F7"/>
          </w:tcPr>
          <w:p>
            <w:r>
              <w:rPr>
                <w:rFonts w:ascii="Arial" w:hAnsi="Arial"/>
                <w:sz w:val="18"/>
              </w:rPr>
              <w:t>Market data platform (live)</w:t>
            </w:r>
          </w:p>
        </w:tc>
        <w:tc>
          <w:tcPr>
            <w:tcW w:type="dxa" w:w="4608"/>
            <w:shd w:val="clear" w:fill="F2F4F7"/>
          </w:tcPr>
          <w:p>
            <w:r>
              <w:rPr>
                <w:rFonts w:ascii="Arial" w:hAnsi="Arial"/>
                <w:sz w:val="18"/>
              </w:rPr>
              <w:t>Export by grade/month; paste into data_imports.xlsx / data_exports.xlsx or straight into the workbook.</w:t>
            </w:r>
          </w:p>
        </w:tc>
      </w:tr>
      <w:tr>
        <w:tc>
          <w:tcPr>
            <w:tcW w:type="dxa" w:w="2160"/>
          </w:tcPr>
          <w:p>
            <w:r>
              <w:rPr>
                <w:rFonts w:ascii="Arial" w:hAnsi="Arial"/>
                <w:sz w:val="18"/>
              </w:rPr>
              <w:t>Pipeline receipts into PADD 3</w:t>
            </w:r>
          </w:p>
        </w:tc>
        <w:tc>
          <w:tcPr>
            <w:tcW w:type="dxa" w:w="2592"/>
          </w:tcPr>
          <w:p>
            <w:r>
              <w:rPr>
                <w:rFonts w:ascii="Arial" w:hAnsi="Arial"/>
                <w:sz w:val="18"/>
              </w:rPr>
              <w:t>EIA series MCRNRP32</w:t>
            </w:r>
          </w:p>
        </w:tc>
        <w:tc>
          <w:tcPr>
            <w:tcW w:type="dxa" w:w="4608"/>
          </w:tcPr>
          <w:p>
            <w:r>
              <w:rPr>
                <w:rFonts w:ascii="Arial" w:hAnsi="Arial"/>
                <w:sz w:val="18"/>
              </w:rPr>
              <w:t>“Net Receipts by Pipeline from Other PADDs” — same hist_xls download trick.</w:t>
            </w:r>
          </w:p>
        </w:tc>
      </w:tr>
      <w:tr>
        <w:tc>
          <w:tcPr>
            <w:tcW w:type="dxa" w:w="2160"/>
            <w:shd w:val="clear" w:fill="F2F4F7"/>
          </w:tcPr>
          <w:p>
            <w:r>
              <w:rPr>
                <w:rFonts w:ascii="Arial" w:hAnsi="Arial"/>
                <w:sz w:val="18"/>
              </w:rPr>
              <w:t>Pipeline capacities</w:t>
            </w:r>
          </w:p>
        </w:tc>
        <w:tc>
          <w:tcPr>
            <w:tcW w:type="dxa" w:w="2592"/>
            <w:shd w:val="clear" w:fill="F2F4F7"/>
          </w:tcPr>
          <w:p>
            <w:r>
              <w:rPr>
                <w:rFonts w:ascii="Arial" w:hAnsi="Arial"/>
                <w:sz w:val="18"/>
              </w:rPr>
              <w:t>Operator filings &amp; trade press</w:t>
            </w:r>
          </w:p>
        </w:tc>
        <w:tc>
          <w:tcPr>
            <w:tcW w:type="dxa" w:w="4608"/>
            <w:shd w:val="clear" w:fill="F2F4F7"/>
          </w:tcPr>
          <w:p>
            <w:r>
              <w:rPr>
                <w:rFonts w:ascii="Arial" w:hAnsi="Arial"/>
                <w:sz w:val="18"/>
              </w:rPr>
              <w:t>Enbridge/Genesis investor decks, Argus, OGJ. Change rarely — only on expansions.</w:t>
            </w:r>
          </w:p>
        </w:tc>
      </w:tr>
      <w:tr>
        <w:tc>
          <w:tcPr>
            <w:tcW w:type="dxa" w:w="2160"/>
          </w:tcPr>
          <w:p>
            <w:r>
              <w:rPr>
                <w:rFonts w:ascii="Arial" w:hAnsi="Arial"/>
                <w:sz w:val="18"/>
              </w:rPr>
              <w:t>SPR level &amp; releases</w:t>
            </w:r>
          </w:p>
        </w:tc>
        <w:tc>
          <w:tcPr>
            <w:tcW w:type="dxa" w:w="2592"/>
          </w:tcPr>
          <w:p>
            <w:r>
              <w:rPr>
                <w:rFonts w:ascii="Arial" w:hAnsi="Arial"/>
                <w:sz w:val="18"/>
              </w:rPr>
              <w:t>DOE — spr.doe.gov</w:t>
            </w:r>
          </w:p>
        </w:tc>
        <w:tc>
          <w:tcPr>
            <w:tcW w:type="dxa" w:w="4608"/>
          </w:tcPr>
          <w:p>
            <w:r>
              <w:rPr>
                <w:rFonts w:ascii="Arial" w:hAnsi="Arial"/>
                <w:sz w:val="18"/>
              </w:rPr>
              <w:t>DOE publishes SPR inventory and drawdown notices (2026 Exchange withdrawals: Bryan Mound + Big Hill). EIA mirrors weekly as WCSSTUS1. Monthly stock change ÷ days = the kbd rate.</w:t>
            </w:r>
          </w:p>
        </w:tc>
      </w:tr>
      <w:tr>
        <w:tc>
          <w:tcPr>
            <w:tcW w:type="dxa" w:w="2160"/>
            <w:shd w:val="clear" w:fill="F2F4F7"/>
          </w:tcPr>
          <w:p>
            <w:r>
              <w:rPr>
                <w:rFonts w:ascii="Arial" w:hAnsi="Arial"/>
                <w:sz w:val="18"/>
              </w:rPr>
              <w:t>SPR sweet/sour split</w:t>
            </w:r>
          </w:p>
        </w:tc>
        <w:tc>
          <w:tcPr>
            <w:tcW w:type="dxa" w:w="2592"/>
            <w:shd w:val="clear" w:fill="F2F4F7"/>
          </w:tcPr>
          <w:p>
            <w:r>
              <w:rPr>
                <w:rFonts w:ascii="Arial" w:hAnsi="Arial"/>
                <w:sz w:val="18"/>
              </w:rPr>
              <w:t>DOE SPR Quick Facts</w:t>
            </w:r>
          </w:p>
        </w:tc>
        <w:tc>
          <w:tcPr>
            <w:tcW w:type="dxa" w:w="4608"/>
            <w:shd w:val="clear" w:fill="F2F4F7"/>
          </w:tcPr>
          <w:p>
            <w:r>
              <w:rPr>
                <w:rFonts w:ascii="Arial" w:hAnsi="Arial"/>
                <w:sz w:val="18"/>
              </w:rPr>
              <w:t>energy.gov → SPR Quick Facts: ~60% sour by design.</w:t>
            </w:r>
          </w:p>
        </w:tc>
      </w:tr>
      <w:tr>
        <w:tc>
          <w:tcPr>
            <w:tcW w:type="dxa" w:w="2160"/>
          </w:tcPr>
          <w:p>
            <w:r>
              <w:rPr>
                <w:rFonts w:ascii="Arial" w:hAnsi="Arial"/>
                <w:sz w:val="18"/>
              </w:rPr>
              <w:t>10-yr seasonal history</w:t>
            </w:r>
          </w:p>
        </w:tc>
        <w:tc>
          <w:tcPr>
            <w:tcW w:type="dxa" w:w="2592"/>
          </w:tcPr>
          <w:p>
            <w:r>
              <w:rPr>
                <w:rFonts w:ascii="Arial" w:hAnsi="Arial"/>
                <w:sz w:val="18"/>
              </w:rPr>
              <w:t>EIA monthly, 2016–2025</w:t>
            </w:r>
          </w:p>
        </w:tc>
        <w:tc>
          <w:tcPr>
            <w:tcW w:type="dxa" w:w="4608"/>
          </w:tcPr>
          <w:p>
            <w:r>
              <w:rPr>
                <w:rFonts w:ascii="Arial" w:hAnsi="Arial"/>
                <w:sz w:val="18"/>
              </w:rPr>
              <w:t>Same series, averaged by calendar month. Raw files saved as eia_*.xls.</w:t>
            </w:r>
          </w:p>
        </w:tc>
      </w:tr>
    </w:tbl>
    <w:p>
      <w:pPr>
        <w:pStyle w:val="Heading1"/>
      </w:pPr>
      <w:r>
        <w:t>The monthly update, step by step</w:t>
      </w:r>
    </w:p>
    <w:p>
      <w:r>
        <w:rPr>
          <w:b w:val="0"/>
          <w:i w:val="0"/>
          <w:sz w:val="21"/>
        </w:rPr>
        <w:t>Takes maybe twenty minutes once you've done it twice:</w:t>
      </w:r>
    </w:p>
    <w:p>
      <w:pPr>
        <w:pStyle w:val="ListBullet"/>
      </w:pPr>
      <w:r>
        <w:rPr>
          <w:rFonts w:ascii="Arial" w:hAnsi="Arial"/>
          <w:sz w:val="21"/>
        </w:rPr>
        <w:t>Pull fresh import/export data from the platform; drop the volumes into Imports &amp; Exports (or overwrite the two data files and re-run the script).</w:t>
      </w:r>
    </w:p>
    <w:p>
      <w:pPr>
        <w:pStyle w:val="ListBullet"/>
      </w:pPr>
      <w:r>
        <w:rPr>
          <w:rFonts w:ascii="Arial" w:hAnsi="Arial"/>
          <w:sz w:val="21"/>
        </w:rPr>
        <w:t>When EIA monthly data drops (~end of month, two months behind), update GoM production, refinery utilization and pipeline receipts — cells on Supply, Refiner Demand and Pipelines.</w:t>
      </w:r>
    </w:p>
    <w:p>
      <w:pPr>
        <w:pStyle w:val="ListBullet"/>
      </w:pPr>
      <w:r>
        <w:rPr>
          <w:rFonts w:ascii="Arial" w:hAnsi="Arial"/>
          <w:sz w:val="21"/>
        </w:rPr>
        <w:t>Check the SPR rate on spr.doe.gov (or EIA weekly WCSSTUS1) and update the SPR row on Supply. While the 2026 Exchange drawdown runs, this is big enough to move the whole sour balance — don't skip it.</w:t>
      </w:r>
    </w:p>
    <w:p>
      <w:pPr>
        <w:pStyle w:val="ListBullet"/>
      </w:pPr>
      <w:r>
        <w:rPr>
          <w:rFonts w:ascii="Arial" w:hAnsi="Arial"/>
          <w:sz w:val="21"/>
        </w:rPr>
        <w:t>Anything orange is an estimate waiting for real data. When actuals publish, type them in.</w:t>
      </w:r>
    </w:p>
    <w:p>
      <w:pPr>
        <w:pStyle w:val="ListBullet"/>
      </w:pPr>
      <w:r>
        <w:rPr>
          <w:rFonts w:ascii="Arial" w:hAnsi="Arial"/>
          <w:sz w:val="21"/>
        </w:rPr>
        <w:t>Glance at the check rows (Supply model-vs-EIA, Pipelines breakdown-vs-EIA). If one is far from zero, something's inconsistent — chase it before trusting the balance.</w:t>
      </w:r>
    </w:p>
    <w:p>
      <w:pPr>
        <w:pStyle w:val="Heading1"/>
      </w:pPr>
      <w:r>
        <w:t>Honest limitations — read this part</w:t>
      </w:r>
    </w:p>
    <w:p>
      <w:pPr>
        <w:pStyle w:val="ListBullet"/>
      </w:pPr>
      <w:r>
        <w:rPr>
          <w:rFonts w:ascii="Arial" w:hAnsi="Arial"/>
          <w:sz w:val="21"/>
        </w:rPr>
        <w:t>The import/export files cover the terminals we track — roughly half of total PADD 3 imports. We use them unscaled because they're our live, trusted data, but it means the balance runs structurally negative. Watch the month-to-month trend, not the absolute level.</w:t>
      </w:r>
    </w:p>
    <w:p>
      <w:pPr>
        <w:pStyle w:val="ListBullet"/>
      </w:pPr>
      <w:r>
        <w:rPr>
          <w:rFonts w:ascii="Arial" w:hAnsi="Arial"/>
          <w:sz w:val="21"/>
        </w:rPr>
        <w:t>The grade split of GoM production (Mars vs Poseidon vs Thunder Horse) is estimated — EIA only publishes the total. The total ties to EIA; the split is judgment.</w:t>
      </w:r>
    </w:p>
    <w:p>
      <w:pPr>
        <w:pStyle w:val="ListBullet"/>
      </w:pPr>
      <w:r>
        <w:rPr>
          <w:rFonts w:ascii="Arial" w:hAnsi="Arial"/>
          <w:sz w:val="21"/>
        </w:rPr>
        <w:t>Demand is capacity-driven, not measured. Nobody publishes refinery-level crude slates monthly; the coker math is a good proxy but it's a model, not a measurement. That's exactly why the LOW/HIGH range exists.</w:t>
      </w:r>
    </w:p>
    <w:p>
      <w:pPr>
        <w:pStyle w:val="ListBullet"/>
      </w:pPr>
      <w:r>
        <w:rPr>
          <w:rFonts w:ascii="Arial" w:hAnsi="Arial"/>
          <w:sz w:val="21"/>
        </w:rPr>
        <w:t>Line-by-line pipeline flows (Seaway vs Marketlink) are estimates set to reconcile to EIA's total. The total is solid; the split is approximate.</w:t>
      </w:r>
    </w:p>
    <w:p>
      <w:pPr>
        <w:pStyle w:val="ListBullet"/>
      </w:pPr>
      <w:r>
        <w:rPr>
          <w:rFonts w:ascii="Arial" w:hAnsi="Arial"/>
          <w:sz w:val="21"/>
        </w:rPr>
        <w:t>Commercial inventory swings aren't modeled separately; they're part of why the balance never sits at exactly zero.</w:t>
      </w:r>
    </w:p>
    <w:p>
      <w:pPr>
        <w:pStyle w:val="Heading1"/>
      </w:pPr>
      <w:r>
        <w:t>If you only remember three things</w:t>
      </w:r>
    </w:p>
    <w:p>
      <w:pPr>
        <w:pStyle w:val="ListBullet"/>
      </w:pPr>
      <w:r>
        <w:rPr>
          <w:rFonts w:ascii="Arial" w:hAnsi="Arial"/>
          <w:sz w:val="21"/>
        </w:rPr>
        <w:t>The coker drives heavy demand. CDU size is almost irrelevant to how much heavy a plant buys.</w:t>
      </w:r>
    </w:p>
    <w:p>
      <w:pPr>
        <w:pStyle w:val="ListBullet"/>
      </w:pPr>
      <w:r>
        <w:rPr>
          <w:rFonts w:ascii="Arial" w:hAnsi="Arial"/>
          <w:sz w:val="21"/>
        </w:rPr>
        <w:t>Most Gulf Coast heavy arrives by pipeline from Canada via Cushing, not by tanker. Ignore the pipe and the heavy balance makes no sense.</w:t>
      </w:r>
    </w:p>
    <w:p>
      <w:pPr>
        <w:pStyle w:val="ListBullet"/>
      </w:pPr>
      <w:r>
        <w:rPr>
          <w:rFonts w:ascii="Arial" w:hAnsi="Arial"/>
          <w:sz w:val="21"/>
        </w:rPr>
        <w:t>Blue = yours to change, black = leave it, yellow = somebody's assumption. When the answer looks wrong, check the yellow cells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E2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aps w:val="0"/>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aps w:val="0"/>
      <w:color w:val="2E5A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