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B79EB" w14:textId="77777777" w:rsidR="00011352" w:rsidRPr="0017344A" w:rsidRDefault="00000000">
      <w:pPr>
        <w:jc w:val="center"/>
        <w:rPr>
          <w:rFonts w:ascii="Arial" w:hAnsi="Arial" w:cs="Arial"/>
        </w:rPr>
      </w:pPr>
      <w:r w:rsidRPr="0017344A">
        <w:rPr>
          <w:rFonts w:ascii="Arial" w:hAnsi="Arial" w:cs="Arial"/>
          <w:noProof/>
        </w:rPr>
        <w:drawing>
          <wp:inline distT="0" distB="0" distL="0" distR="0" wp14:anchorId="4FBD63C6" wp14:editId="2FA98D68">
            <wp:extent cx="2377440" cy="1041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377440" cy="1041728"/>
                    </a:xfrm>
                    <a:prstGeom prst="rect">
                      <a:avLst/>
                    </a:prstGeom>
                  </pic:spPr>
                </pic:pic>
              </a:graphicData>
            </a:graphic>
          </wp:inline>
        </w:drawing>
      </w:r>
    </w:p>
    <w:p w14:paraId="0A80F08F" w14:textId="77777777" w:rsidR="00011352" w:rsidRPr="0017344A" w:rsidRDefault="00000000">
      <w:pPr>
        <w:jc w:val="center"/>
        <w:rPr>
          <w:rFonts w:ascii="Arial" w:hAnsi="Arial" w:cs="Arial"/>
        </w:rPr>
      </w:pPr>
      <w:r w:rsidRPr="0017344A">
        <w:rPr>
          <w:rFonts w:ascii="Arial" w:hAnsi="Arial" w:cs="Arial"/>
        </w:rPr>
        <w:t>Grant Agreement no. 101120075</w:t>
      </w:r>
    </w:p>
    <w:p w14:paraId="0F995CAB" w14:textId="77777777" w:rsidR="00011352" w:rsidRPr="0017344A" w:rsidRDefault="00000000">
      <w:pPr>
        <w:jc w:val="center"/>
        <w:rPr>
          <w:rFonts w:ascii="Arial" w:hAnsi="Arial" w:cs="Arial"/>
        </w:rPr>
      </w:pPr>
      <w:r w:rsidRPr="0017344A">
        <w:rPr>
          <w:rFonts w:ascii="Arial" w:hAnsi="Arial" w:cs="Arial"/>
        </w:rPr>
        <w:t>HORIZON-WIDERA-2022-TALENTS-03-01</w:t>
      </w:r>
      <w:r w:rsidRPr="0017344A">
        <w:rPr>
          <w:rFonts w:ascii="Arial" w:hAnsi="Arial" w:cs="Arial"/>
        </w:rPr>
        <w:br/>
        <w:t>ERA Talents</w:t>
      </w:r>
    </w:p>
    <w:p w14:paraId="0984C0E0" w14:textId="77777777" w:rsidR="00011352" w:rsidRPr="0017344A" w:rsidRDefault="00000000">
      <w:pPr>
        <w:jc w:val="center"/>
        <w:rPr>
          <w:rFonts w:ascii="Arial" w:hAnsi="Arial" w:cs="Arial"/>
        </w:rPr>
      </w:pPr>
      <w:r w:rsidRPr="0017344A">
        <w:rPr>
          <w:rFonts w:ascii="Arial" w:hAnsi="Arial" w:cs="Arial"/>
          <w:b/>
          <w:sz w:val="36"/>
        </w:rPr>
        <w:t>D3.3</w:t>
      </w:r>
    </w:p>
    <w:p w14:paraId="44E8000E" w14:textId="77777777" w:rsidR="00011352" w:rsidRPr="0017344A" w:rsidRDefault="00000000">
      <w:pPr>
        <w:jc w:val="center"/>
        <w:rPr>
          <w:rFonts w:ascii="Arial" w:hAnsi="Arial" w:cs="Arial"/>
        </w:rPr>
      </w:pPr>
      <w:r w:rsidRPr="0017344A">
        <w:rPr>
          <w:rFonts w:ascii="Arial" w:hAnsi="Arial" w:cs="Arial"/>
          <w:b/>
          <w:sz w:val="30"/>
        </w:rPr>
        <w:t>Protocols and standard operating procedures on practical recommendations covering the data driven innovative method validation into the clinical practice</w:t>
      </w:r>
    </w:p>
    <w:p w14:paraId="1356F926" w14:textId="77777777" w:rsidR="008960E3" w:rsidRDefault="008960E3">
      <w:pPr>
        <w:jc w:val="center"/>
        <w:rPr>
          <w:rFonts w:ascii="Arial" w:hAnsi="Arial" w:cs="Arial"/>
        </w:rPr>
      </w:pPr>
    </w:p>
    <w:p w14:paraId="0AA0D50A" w14:textId="77777777" w:rsidR="00011352" w:rsidRPr="0017344A" w:rsidRDefault="00000000">
      <w:pPr>
        <w:jc w:val="center"/>
        <w:rPr>
          <w:rFonts w:ascii="Arial" w:hAnsi="Arial" w:cs="Arial"/>
        </w:rPr>
      </w:pPr>
      <w:r w:rsidRPr="0017344A">
        <w:rPr>
          <w:rFonts w:ascii="Arial" w:hAnsi="Arial" w:cs="Arial"/>
        </w:rPr>
        <w:t>Embryo image-analysis workflow</w:t>
      </w:r>
    </w:p>
    <w:p w14:paraId="571996E1" w14:textId="77777777" w:rsidR="00011352" w:rsidRDefault="00000000">
      <w:pPr>
        <w:jc w:val="center"/>
        <w:rPr>
          <w:rFonts w:ascii="Arial" w:hAnsi="Arial" w:cs="Arial"/>
        </w:rPr>
      </w:pPr>
      <w:r w:rsidRPr="0017344A">
        <w:rPr>
          <w:rFonts w:ascii="Arial" w:hAnsi="Arial" w:cs="Arial"/>
        </w:rPr>
        <w:t xml:space="preserve">WP3 </w:t>
      </w:r>
      <w:r w:rsidR="008960E3">
        <w:rPr>
          <w:rFonts w:ascii="Arial" w:hAnsi="Arial" w:cs="Arial"/>
        </w:rPr>
        <w:t xml:space="preserve">- </w:t>
      </w:r>
      <w:r w:rsidRPr="0017344A">
        <w:rPr>
          <w:rFonts w:ascii="Arial" w:hAnsi="Arial" w:cs="Arial"/>
        </w:rPr>
        <w:t>Intersectoral mobility for R&amp;I translation towards ethically responsible innovations</w:t>
      </w:r>
    </w:p>
    <w:p w14:paraId="0BBE2310" w14:textId="77777777" w:rsidR="008960E3" w:rsidRPr="0017344A" w:rsidRDefault="008960E3">
      <w:pPr>
        <w:jc w:val="center"/>
        <w:rPr>
          <w:rFonts w:ascii="Arial" w:hAnsi="Arial" w:cs="Arial"/>
        </w:rPr>
      </w:pPr>
    </w:p>
    <w:tbl>
      <w:tblPr>
        <w:tblStyle w:val="TableGrid"/>
        <w:tblW w:w="0" w:type="auto"/>
        <w:tblLook w:val="04A0" w:firstRow="1" w:lastRow="0" w:firstColumn="1" w:lastColumn="0" w:noHBand="0" w:noVBand="1"/>
      </w:tblPr>
      <w:tblGrid>
        <w:gridCol w:w="4819"/>
        <w:gridCol w:w="4819"/>
      </w:tblGrid>
      <w:tr w:rsidR="00011352" w:rsidRPr="0017344A" w14:paraId="2D8C9E36" w14:textId="77777777" w:rsidTr="008960E3">
        <w:trPr>
          <w:cantSplit/>
        </w:trPr>
        <w:tc>
          <w:tcPr>
            <w:tcW w:w="4819" w:type="dxa"/>
            <w:shd w:val="clear" w:color="auto" w:fill="EEE8F3"/>
          </w:tcPr>
          <w:p w14:paraId="1853D0D1" w14:textId="77777777" w:rsidR="00011352" w:rsidRPr="0017344A" w:rsidRDefault="00000000">
            <w:pPr>
              <w:spacing w:before="60" w:after="80"/>
              <w:rPr>
                <w:rFonts w:ascii="Arial" w:hAnsi="Arial" w:cs="Arial"/>
              </w:rPr>
            </w:pPr>
            <w:r w:rsidRPr="0017344A">
              <w:rPr>
                <w:rFonts w:ascii="Arial" w:hAnsi="Arial" w:cs="Arial"/>
                <w:b/>
              </w:rPr>
              <w:t>Document information</w:t>
            </w:r>
          </w:p>
        </w:tc>
        <w:tc>
          <w:tcPr>
            <w:tcW w:w="4819" w:type="dxa"/>
            <w:shd w:val="clear" w:color="auto" w:fill="EEE8F3"/>
          </w:tcPr>
          <w:p w14:paraId="627E97A6" w14:textId="77777777" w:rsidR="00011352" w:rsidRPr="0017344A" w:rsidRDefault="00000000">
            <w:pPr>
              <w:spacing w:before="60" w:after="80"/>
              <w:rPr>
                <w:rFonts w:ascii="Arial" w:hAnsi="Arial" w:cs="Arial"/>
              </w:rPr>
            </w:pPr>
            <w:r w:rsidRPr="0017344A">
              <w:rPr>
                <w:rFonts w:ascii="Arial" w:hAnsi="Arial" w:cs="Arial"/>
                <w:b/>
              </w:rPr>
              <w:t>Details</w:t>
            </w:r>
          </w:p>
        </w:tc>
      </w:tr>
      <w:tr w:rsidR="00011352" w:rsidRPr="0017344A" w14:paraId="4701F5DC" w14:textId="77777777" w:rsidTr="008960E3">
        <w:trPr>
          <w:cantSplit/>
        </w:trPr>
        <w:tc>
          <w:tcPr>
            <w:tcW w:w="4819" w:type="dxa"/>
          </w:tcPr>
          <w:p w14:paraId="069E4E78" w14:textId="77777777" w:rsidR="00011352" w:rsidRPr="0017344A" w:rsidRDefault="00000000">
            <w:pPr>
              <w:spacing w:before="60" w:after="80"/>
              <w:rPr>
                <w:rFonts w:ascii="Arial" w:hAnsi="Arial" w:cs="Arial"/>
              </w:rPr>
            </w:pPr>
            <w:r w:rsidRPr="0017344A">
              <w:rPr>
                <w:rFonts w:ascii="Arial" w:hAnsi="Arial" w:cs="Arial"/>
              </w:rPr>
              <w:t>Submission date</w:t>
            </w:r>
          </w:p>
        </w:tc>
        <w:tc>
          <w:tcPr>
            <w:tcW w:w="4819" w:type="dxa"/>
          </w:tcPr>
          <w:p w14:paraId="023504B3" w14:textId="77777777" w:rsidR="00011352" w:rsidRPr="0017344A" w:rsidRDefault="00000000">
            <w:pPr>
              <w:spacing w:before="60" w:after="80"/>
              <w:rPr>
                <w:rFonts w:ascii="Arial" w:hAnsi="Arial" w:cs="Arial"/>
              </w:rPr>
            </w:pPr>
            <w:r w:rsidRPr="0017344A">
              <w:rPr>
                <w:rFonts w:ascii="Arial" w:hAnsi="Arial" w:cs="Arial"/>
              </w:rPr>
              <w:t>30 September 2026</w:t>
            </w:r>
          </w:p>
        </w:tc>
      </w:tr>
      <w:tr w:rsidR="00011352" w:rsidRPr="0017344A" w14:paraId="0035F3D9" w14:textId="77777777" w:rsidTr="008960E3">
        <w:trPr>
          <w:cantSplit/>
        </w:trPr>
        <w:tc>
          <w:tcPr>
            <w:tcW w:w="4819" w:type="dxa"/>
          </w:tcPr>
          <w:p w14:paraId="3141C08F" w14:textId="77777777" w:rsidR="00011352" w:rsidRPr="0017344A" w:rsidRDefault="00000000">
            <w:pPr>
              <w:spacing w:before="60" w:after="80"/>
              <w:rPr>
                <w:rFonts w:ascii="Arial" w:hAnsi="Arial" w:cs="Arial"/>
              </w:rPr>
            </w:pPr>
            <w:r w:rsidRPr="0017344A">
              <w:rPr>
                <w:rFonts w:ascii="Arial" w:hAnsi="Arial" w:cs="Arial"/>
              </w:rPr>
              <w:t>Lead beneficiary</w:t>
            </w:r>
          </w:p>
        </w:tc>
        <w:tc>
          <w:tcPr>
            <w:tcW w:w="4819" w:type="dxa"/>
          </w:tcPr>
          <w:p w14:paraId="4284EAF1" w14:textId="77777777" w:rsidR="00011352" w:rsidRPr="0017344A" w:rsidRDefault="00000000">
            <w:pPr>
              <w:spacing w:before="60" w:after="80"/>
              <w:rPr>
                <w:rFonts w:ascii="Arial" w:hAnsi="Arial" w:cs="Arial"/>
              </w:rPr>
            </w:pPr>
            <w:r w:rsidRPr="0017344A">
              <w:rPr>
                <w:rFonts w:ascii="Arial" w:hAnsi="Arial" w:cs="Arial"/>
              </w:rPr>
              <w:t>UM</w:t>
            </w:r>
          </w:p>
        </w:tc>
      </w:tr>
      <w:tr w:rsidR="00011352" w:rsidRPr="0017344A" w14:paraId="4B6E19EF" w14:textId="77777777" w:rsidTr="008960E3">
        <w:trPr>
          <w:cantSplit/>
        </w:trPr>
        <w:tc>
          <w:tcPr>
            <w:tcW w:w="4819" w:type="dxa"/>
          </w:tcPr>
          <w:p w14:paraId="30D88C92" w14:textId="77777777" w:rsidR="00011352" w:rsidRPr="0017344A" w:rsidRDefault="00000000">
            <w:pPr>
              <w:spacing w:before="60" w:after="80"/>
              <w:rPr>
                <w:rFonts w:ascii="Arial" w:hAnsi="Arial" w:cs="Arial"/>
              </w:rPr>
            </w:pPr>
            <w:r w:rsidRPr="0017344A">
              <w:rPr>
                <w:rFonts w:ascii="Arial" w:hAnsi="Arial" w:cs="Arial"/>
              </w:rPr>
              <w:t>Dissemination level</w:t>
            </w:r>
          </w:p>
        </w:tc>
        <w:tc>
          <w:tcPr>
            <w:tcW w:w="4819" w:type="dxa"/>
          </w:tcPr>
          <w:p w14:paraId="7E95947A" w14:textId="77777777" w:rsidR="00011352" w:rsidRPr="0017344A" w:rsidRDefault="00000000">
            <w:pPr>
              <w:spacing w:before="60" w:after="80"/>
              <w:rPr>
                <w:rFonts w:ascii="Arial" w:hAnsi="Arial" w:cs="Arial"/>
              </w:rPr>
            </w:pPr>
            <w:r w:rsidRPr="0017344A">
              <w:rPr>
                <w:rFonts w:ascii="Arial" w:hAnsi="Arial" w:cs="Arial"/>
              </w:rPr>
              <w:t>PU -Public</w:t>
            </w:r>
          </w:p>
        </w:tc>
      </w:tr>
      <w:tr w:rsidR="00011352" w:rsidRPr="0017344A" w14:paraId="0E77124C" w14:textId="77777777" w:rsidTr="008960E3">
        <w:trPr>
          <w:cantSplit/>
        </w:trPr>
        <w:tc>
          <w:tcPr>
            <w:tcW w:w="4819" w:type="dxa"/>
          </w:tcPr>
          <w:p w14:paraId="59E5CB5A" w14:textId="77777777" w:rsidR="00011352" w:rsidRPr="0017344A" w:rsidRDefault="00000000">
            <w:pPr>
              <w:spacing w:before="60" w:after="80"/>
              <w:rPr>
                <w:rFonts w:ascii="Arial" w:hAnsi="Arial" w:cs="Arial"/>
              </w:rPr>
            </w:pPr>
            <w:r w:rsidRPr="0017344A">
              <w:rPr>
                <w:rFonts w:ascii="Arial" w:hAnsi="Arial" w:cs="Arial"/>
              </w:rPr>
              <w:t>Deliverable reference</w:t>
            </w:r>
          </w:p>
        </w:tc>
        <w:tc>
          <w:tcPr>
            <w:tcW w:w="4819" w:type="dxa"/>
          </w:tcPr>
          <w:p w14:paraId="5FB71A41" w14:textId="77777777" w:rsidR="00011352" w:rsidRPr="0017344A" w:rsidRDefault="00000000">
            <w:pPr>
              <w:rPr>
                <w:rFonts w:ascii="Arial" w:hAnsi="Arial" w:cs="Arial"/>
              </w:rPr>
            </w:pPr>
            <w:r w:rsidRPr="0017344A">
              <w:rPr>
                <w:rFonts w:ascii="Arial" w:hAnsi="Arial" w:cs="Arial"/>
              </w:rPr>
              <w:t>D3.3</w:t>
            </w:r>
          </w:p>
        </w:tc>
      </w:tr>
      <w:tr w:rsidR="008960E3" w:rsidRPr="0017344A" w14:paraId="5DAC02CA" w14:textId="77777777" w:rsidTr="008960E3">
        <w:trPr>
          <w:cantSplit/>
        </w:trPr>
        <w:tc>
          <w:tcPr>
            <w:tcW w:w="4819" w:type="dxa"/>
          </w:tcPr>
          <w:p w14:paraId="0905A98E" w14:textId="77777777" w:rsidR="008960E3" w:rsidRPr="0017344A" w:rsidRDefault="008960E3">
            <w:pPr>
              <w:spacing w:before="60" w:after="80"/>
              <w:rPr>
                <w:rFonts w:ascii="Arial" w:hAnsi="Arial" w:cs="Arial"/>
              </w:rPr>
            </w:pPr>
            <w:r>
              <w:rPr>
                <w:rFonts w:ascii="Arial" w:hAnsi="Arial" w:cs="Arial"/>
              </w:rPr>
              <w:t>Contributors</w:t>
            </w:r>
          </w:p>
        </w:tc>
        <w:tc>
          <w:tcPr>
            <w:tcW w:w="4819" w:type="dxa"/>
          </w:tcPr>
          <w:p w14:paraId="39466C0D" w14:textId="77777777" w:rsidR="008960E3" w:rsidRPr="0017344A" w:rsidRDefault="008960E3">
            <w:pPr>
              <w:rPr>
                <w:rFonts w:ascii="Arial" w:hAnsi="Arial" w:cs="Arial"/>
              </w:rPr>
            </w:pPr>
            <w:r>
              <w:rPr>
                <w:rFonts w:ascii="Arial" w:hAnsi="Arial" w:cs="Arial"/>
              </w:rPr>
              <w:t>Kristel Rose, George Kazakis, Masoud Zamani-</w:t>
            </w:r>
            <w:proofErr w:type="spellStart"/>
            <w:r>
              <w:rPr>
                <w:rFonts w:ascii="Arial" w:hAnsi="Arial" w:cs="Arial"/>
              </w:rPr>
              <w:t>Esteki</w:t>
            </w:r>
            <w:proofErr w:type="spellEnd"/>
            <w:r>
              <w:rPr>
                <w:rFonts w:ascii="Arial" w:hAnsi="Arial" w:cs="Arial"/>
              </w:rPr>
              <w:t>, Aspasia Destouni</w:t>
            </w:r>
          </w:p>
        </w:tc>
      </w:tr>
    </w:tbl>
    <w:p w14:paraId="2AF3F7F2" w14:textId="77777777" w:rsidR="008960E3" w:rsidRDefault="008960E3">
      <w:pPr>
        <w:jc w:val="center"/>
        <w:rPr>
          <w:rFonts w:ascii="Arial" w:hAnsi="Arial" w:cs="Arial"/>
          <w:b/>
        </w:rPr>
      </w:pPr>
    </w:p>
    <w:p w14:paraId="6C7BBC5A" w14:textId="77777777" w:rsidR="008960E3" w:rsidRDefault="008960E3">
      <w:pPr>
        <w:jc w:val="center"/>
        <w:rPr>
          <w:rFonts w:ascii="Arial" w:hAnsi="Arial" w:cs="Arial"/>
          <w:b/>
        </w:rPr>
      </w:pPr>
    </w:p>
    <w:p w14:paraId="61F5C6CC" w14:textId="77777777" w:rsidR="00011352" w:rsidRPr="0017344A" w:rsidRDefault="00000000">
      <w:pPr>
        <w:jc w:val="center"/>
        <w:rPr>
          <w:rFonts w:ascii="Arial" w:hAnsi="Arial" w:cs="Arial"/>
        </w:rPr>
      </w:pPr>
      <w:r w:rsidRPr="0017344A">
        <w:rPr>
          <w:rFonts w:ascii="Arial" w:hAnsi="Arial" w:cs="Arial"/>
          <w:b/>
        </w:rPr>
        <w:t>Open-access web-based guidelines</w:t>
      </w:r>
    </w:p>
    <w:p w14:paraId="2CD874ED" w14:textId="77777777" w:rsidR="00011352" w:rsidRPr="0017344A" w:rsidRDefault="00011352">
      <w:pPr>
        <w:jc w:val="center"/>
        <w:rPr>
          <w:rFonts w:ascii="Arial" w:hAnsi="Arial" w:cs="Arial"/>
        </w:rPr>
      </w:pPr>
      <w:hyperlink r:id="rId9">
        <w:r w:rsidRPr="0017344A">
          <w:rPr>
            <w:rFonts w:ascii="Arial" w:hAnsi="Arial" w:cs="Arial"/>
            <w:color w:val="0563C1"/>
            <w:u w:val="single"/>
          </w:rPr>
          <w:t>https://georgekazakis.github.io/nestor-sops/</w:t>
        </w:r>
      </w:hyperlink>
    </w:p>
    <w:p w14:paraId="070A6265" w14:textId="77777777" w:rsidR="0017344A" w:rsidRPr="0017344A" w:rsidRDefault="00000000" w:rsidP="0017344A">
      <w:pPr>
        <w:rPr>
          <w:rFonts w:ascii="Arial" w:hAnsi="Arial" w:cs="Arial"/>
        </w:rPr>
      </w:pPr>
      <w:r w:rsidRPr="0017344A">
        <w:rPr>
          <w:rFonts w:ascii="Arial" w:hAnsi="Arial" w:cs="Arial"/>
        </w:rPr>
        <w:br w:type="page"/>
      </w:r>
    </w:p>
    <w:sdt>
      <w:sdtPr>
        <w:rPr>
          <w:rFonts w:ascii="Arial" w:eastAsiaTheme="minorEastAsia" w:hAnsi="Arial" w:cs="Arial"/>
          <w:b w:val="0"/>
          <w:bCs w:val="0"/>
          <w:color w:val="auto"/>
          <w:kern w:val="2"/>
          <w:sz w:val="24"/>
          <w:szCs w:val="24"/>
          <w:lang w:eastAsia="ja-JP"/>
        </w:rPr>
        <w:id w:val="290088328"/>
        <w:docPartObj>
          <w:docPartGallery w:val="Table of Contents"/>
          <w:docPartUnique/>
        </w:docPartObj>
      </w:sdtPr>
      <w:sdtEndPr>
        <w:rPr>
          <w:rFonts w:eastAsiaTheme="majorEastAsia"/>
          <w:b/>
          <w:bCs/>
          <w:color w:val="503078"/>
          <w:kern w:val="0"/>
          <w:sz w:val="22"/>
          <w:szCs w:val="22"/>
          <w:lang w:eastAsia="en-US"/>
        </w:rPr>
      </w:sdtEndPr>
      <w:sdtContent>
        <w:p w14:paraId="346D7C4E" w14:textId="77777777" w:rsidR="00922B2D" w:rsidRDefault="00000000">
          <w:pPr>
            <w:pStyle w:val="TOCHeading"/>
          </w:pPr>
          <w:r>
            <w:rPr>
              <w:rFonts w:ascii="Arial" w:hAnsi="Arial" w:cs="Arial"/>
            </w:rPr>
            <w:t>Table of contents</w:t>
          </w:r>
        </w:p>
        <w:p w14:paraId="67469E57" w14:textId="77777777" w:rsidR="00922B2D" w:rsidRDefault="00000000">
          <w:pPr>
            <w:pStyle w:val="TOC1"/>
            <w:tabs>
              <w:tab w:val="right" w:leader="dot" w:pos="9648"/>
            </w:tabs>
          </w:pPr>
          <w:r>
            <w:fldChar w:fldCharType="begin"/>
          </w:r>
          <w:r>
            <w:instrText xml:space="preserve"> TOC \o "1-2" \h \z \u </w:instrText>
          </w:r>
          <w:r>
            <w:fldChar w:fldCharType="separate"/>
          </w:r>
          <w:r>
            <w:rPr>
              <w:rFonts w:ascii="Arial" w:hAnsi="Arial" w:cs="Arial"/>
            </w:rPr>
            <w:t>Executive summary</w:t>
          </w:r>
          <w:r>
            <w:tab/>
          </w:r>
          <w:r>
            <w:rPr>
              <w:rFonts w:ascii="Arial" w:hAnsi="Arial" w:cs="Arial"/>
            </w:rPr>
            <w:t>3</w:t>
          </w:r>
        </w:p>
        <w:p w14:paraId="1B355FED" w14:textId="77777777" w:rsidR="00922B2D" w:rsidRDefault="00000000">
          <w:pPr>
            <w:pStyle w:val="TOC1"/>
            <w:tabs>
              <w:tab w:val="right" w:leader="dot" w:pos="9648"/>
            </w:tabs>
          </w:pPr>
          <w:r>
            <w:rPr>
              <w:rFonts w:ascii="Arial" w:hAnsi="Arial" w:cs="Arial"/>
            </w:rPr>
            <w:t>List of abbreviations</w:t>
          </w:r>
          <w:r>
            <w:tab/>
          </w:r>
          <w:r>
            <w:rPr>
              <w:rFonts w:ascii="Arial" w:hAnsi="Arial" w:cs="Arial"/>
            </w:rPr>
            <w:t>5</w:t>
          </w:r>
        </w:p>
        <w:p w14:paraId="69ADC549" w14:textId="77777777" w:rsidR="00922B2D" w:rsidRDefault="00000000">
          <w:pPr>
            <w:pStyle w:val="TOC1"/>
            <w:tabs>
              <w:tab w:val="right" w:leader="dot" w:pos="9648"/>
            </w:tabs>
          </w:pPr>
          <w:r>
            <w:rPr>
              <w:rFonts w:ascii="Arial" w:hAnsi="Arial" w:cs="Arial"/>
            </w:rPr>
            <w:t>1. Introduction</w:t>
          </w:r>
          <w:r>
            <w:tab/>
          </w:r>
          <w:r>
            <w:rPr>
              <w:rFonts w:ascii="Arial" w:hAnsi="Arial" w:cs="Arial"/>
            </w:rPr>
            <w:t>6</w:t>
          </w:r>
        </w:p>
        <w:p w14:paraId="4A767895" w14:textId="77777777" w:rsidR="00922B2D" w:rsidRDefault="00000000">
          <w:pPr>
            <w:pStyle w:val="TOC2"/>
            <w:tabs>
              <w:tab w:val="right" w:leader="dot" w:pos="9648"/>
            </w:tabs>
          </w:pPr>
          <w:r>
            <w:rPr>
              <w:rFonts w:ascii="Arial" w:hAnsi="Arial" w:cs="Arial"/>
            </w:rPr>
            <w:t>1.1 Purpose</w:t>
          </w:r>
          <w:r>
            <w:tab/>
          </w:r>
          <w:r>
            <w:rPr>
              <w:rFonts w:ascii="Arial" w:hAnsi="Arial" w:cs="Arial"/>
            </w:rPr>
            <w:t>6</w:t>
          </w:r>
        </w:p>
        <w:p w14:paraId="3DFCB7A8" w14:textId="77777777" w:rsidR="00922B2D" w:rsidRDefault="00000000">
          <w:pPr>
            <w:pStyle w:val="TOC2"/>
            <w:tabs>
              <w:tab w:val="right" w:leader="dot" w:pos="9648"/>
            </w:tabs>
          </w:pPr>
          <w:r>
            <w:rPr>
              <w:rFonts w:ascii="Arial" w:hAnsi="Arial" w:cs="Arial"/>
            </w:rPr>
            <w:t>1.2 Relationship to the Description of Action</w:t>
          </w:r>
          <w:r>
            <w:tab/>
          </w:r>
          <w:r>
            <w:rPr>
              <w:rFonts w:ascii="Arial" w:hAnsi="Arial" w:cs="Arial"/>
            </w:rPr>
            <w:t>6</w:t>
          </w:r>
        </w:p>
        <w:p w14:paraId="231E8578" w14:textId="77777777" w:rsidR="00922B2D" w:rsidRDefault="00000000">
          <w:pPr>
            <w:pStyle w:val="TOC2"/>
            <w:tabs>
              <w:tab w:val="right" w:leader="dot" w:pos="9648"/>
            </w:tabs>
          </w:pPr>
          <w:r>
            <w:rPr>
              <w:rFonts w:ascii="Arial" w:hAnsi="Arial" w:cs="Arial"/>
            </w:rPr>
            <w:t>1.3 Scope</w:t>
          </w:r>
          <w:r>
            <w:tab/>
          </w:r>
          <w:r>
            <w:rPr>
              <w:rFonts w:ascii="Arial" w:hAnsi="Arial" w:cs="Arial"/>
            </w:rPr>
            <w:t>7</w:t>
          </w:r>
        </w:p>
        <w:p w14:paraId="64F31379" w14:textId="77777777" w:rsidR="00922B2D" w:rsidRDefault="00000000">
          <w:pPr>
            <w:pStyle w:val="TOC2"/>
            <w:tabs>
              <w:tab w:val="right" w:leader="dot" w:pos="9648"/>
            </w:tabs>
          </w:pPr>
          <w:r>
            <w:rPr>
              <w:rFonts w:ascii="Arial" w:hAnsi="Arial" w:cs="Arial"/>
            </w:rPr>
            <w:t>1.4 Project context</w:t>
          </w:r>
          <w:r>
            <w:tab/>
          </w:r>
          <w:r>
            <w:rPr>
              <w:rFonts w:ascii="Arial" w:hAnsi="Arial" w:cs="Arial"/>
            </w:rPr>
            <w:t>7</w:t>
          </w:r>
        </w:p>
        <w:p w14:paraId="5C3F02B7" w14:textId="77777777" w:rsidR="00922B2D" w:rsidRDefault="00000000">
          <w:pPr>
            <w:pStyle w:val="TOC2"/>
            <w:tabs>
              <w:tab w:val="right" w:leader="dot" w:pos="9648"/>
            </w:tabs>
          </w:pPr>
          <w:r>
            <w:rPr>
              <w:rFonts w:ascii="Arial" w:hAnsi="Arial" w:cs="Arial"/>
            </w:rPr>
            <w:t>1.5 Structure of the document</w:t>
          </w:r>
          <w:r>
            <w:tab/>
          </w:r>
          <w:r>
            <w:rPr>
              <w:rFonts w:ascii="Arial" w:hAnsi="Arial" w:cs="Arial"/>
            </w:rPr>
            <w:t>7</w:t>
          </w:r>
        </w:p>
        <w:p w14:paraId="785806AF" w14:textId="77777777" w:rsidR="00922B2D" w:rsidRDefault="00000000">
          <w:pPr>
            <w:pStyle w:val="TOC1"/>
            <w:tabs>
              <w:tab w:val="right" w:leader="dot" w:pos="9648"/>
            </w:tabs>
          </w:pPr>
          <w:r>
            <w:rPr>
              <w:rFonts w:ascii="Arial" w:hAnsi="Arial" w:cs="Arial"/>
            </w:rPr>
            <w:t>2. Validation in a cross-border and cross-sectoral context</w:t>
          </w:r>
          <w:r>
            <w:tab/>
          </w:r>
          <w:r>
            <w:rPr>
              <w:rFonts w:ascii="Arial" w:hAnsi="Arial" w:cs="Arial"/>
            </w:rPr>
            <w:t>7</w:t>
          </w:r>
        </w:p>
        <w:p w14:paraId="64057077" w14:textId="77777777" w:rsidR="00922B2D" w:rsidRDefault="00000000">
          <w:pPr>
            <w:pStyle w:val="TOC2"/>
            <w:tabs>
              <w:tab w:val="right" w:leader="dot" w:pos="9648"/>
            </w:tabs>
          </w:pPr>
          <w:r>
            <w:rPr>
              <w:rFonts w:ascii="Arial" w:hAnsi="Arial" w:cs="Arial"/>
            </w:rPr>
            <w:t>2.1 The translation gap in reproductive medicine</w:t>
          </w:r>
          <w:r>
            <w:tab/>
          </w:r>
          <w:r>
            <w:rPr>
              <w:rFonts w:ascii="Arial" w:hAnsi="Arial" w:cs="Arial"/>
            </w:rPr>
            <w:t>7</w:t>
          </w:r>
        </w:p>
        <w:p w14:paraId="3FB8800A" w14:textId="77777777" w:rsidR="00922B2D" w:rsidRDefault="00000000">
          <w:pPr>
            <w:pStyle w:val="TOC2"/>
            <w:tabs>
              <w:tab w:val="right" w:leader="dot" w:pos="9648"/>
            </w:tabs>
          </w:pPr>
          <w:r>
            <w:rPr>
              <w:rFonts w:ascii="Arial" w:hAnsi="Arial" w:cs="Arial"/>
            </w:rPr>
            <w:t>2.2 Why validation must work across borders</w:t>
          </w:r>
          <w:r>
            <w:tab/>
          </w:r>
          <w:r>
            <w:rPr>
              <w:rFonts w:ascii="Arial" w:hAnsi="Arial" w:cs="Arial"/>
            </w:rPr>
            <w:t>8</w:t>
          </w:r>
        </w:p>
        <w:p w14:paraId="2414CE4F" w14:textId="77777777" w:rsidR="00922B2D" w:rsidRDefault="00000000">
          <w:pPr>
            <w:pStyle w:val="TOC2"/>
            <w:tabs>
              <w:tab w:val="right" w:leader="dot" w:pos="9648"/>
            </w:tabs>
          </w:pPr>
          <w:r>
            <w:rPr>
              <w:rFonts w:ascii="Arial" w:hAnsi="Arial" w:cs="Arial"/>
            </w:rPr>
            <w:t>2.3 Why validation must work across sectors</w:t>
          </w:r>
          <w:r>
            <w:tab/>
          </w:r>
          <w:r>
            <w:rPr>
              <w:rFonts w:ascii="Arial" w:hAnsi="Arial" w:cs="Arial"/>
            </w:rPr>
            <w:t>8</w:t>
          </w:r>
        </w:p>
        <w:p w14:paraId="4D3B7BE6" w14:textId="77777777" w:rsidR="00922B2D" w:rsidRDefault="00000000">
          <w:pPr>
            <w:pStyle w:val="TOC2"/>
            <w:tabs>
              <w:tab w:val="right" w:leader="dot" w:pos="9648"/>
            </w:tabs>
          </w:pPr>
          <w:r>
            <w:rPr>
              <w:rFonts w:ascii="Arial" w:hAnsi="Arial" w:cs="Arial"/>
            </w:rPr>
            <w:t>2.4 From research to clinical use</w:t>
          </w:r>
          <w:r>
            <w:tab/>
          </w:r>
          <w:r>
            <w:rPr>
              <w:rFonts w:ascii="Arial" w:hAnsi="Arial" w:cs="Arial"/>
            </w:rPr>
            <w:t>9</w:t>
          </w:r>
        </w:p>
        <w:p w14:paraId="7E0D002A" w14:textId="77777777" w:rsidR="00922B2D" w:rsidRDefault="00000000">
          <w:pPr>
            <w:pStyle w:val="TOC1"/>
            <w:tabs>
              <w:tab w:val="right" w:leader="dot" w:pos="9648"/>
            </w:tabs>
          </w:pPr>
          <w:r>
            <w:rPr>
              <w:rFonts w:ascii="Arial" w:hAnsi="Arial" w:cs="Arial"/>
            </w:rPr>
            <w:t>3. Legal, regulatory and ethical framework</w:t>
          </w:r>
          <w:r>
            <w:tab/>
          </w:r>
          <w:r>
            <w:rPr>
              <w:rFonts w:ascii="Arial" w:hAnsi="Arial" w:cs="Arial"/>
            </w:rPr>
            <w:t>9</w:t>
          </w:r>
        </w:p>
        <w:p w14:paraId="53CC54C0" w14:textId="77777777" w:rsidR="00922B2D" w:rsidRDefault="00000000">
          <w:pPr>
            <w:pStyle w:val="TOC2"/>
            <w:tabs>
              <w:tab w:val="right" w:leader="dot" w:pos="9648"/>
            </w:tabs>
          </w:pPr>
          <w:r>
            <w:rPr>
              <w:rFonts w:ascii="Arial" w:hAnsi="Arial" w:cs="Arial"/>
            </w:rPr>
            <w:t>3.1 Data protection</w:t>
          </w:r>
          <w:r>
            <w:tab/>
          </w:r>
          <w:r>
            <w:rPr>
              <w:rFonts w:ascii="Arial" w:hAnsi="Arial" w:cs="Arial"/>
            </w:rPr>
            <w:t>10</w:t>
          </w:r>
        </w:p>
        <w:p w14:paraId="60DC2F93" w14:textId="77777777" w:rsidR="00922B2D" w:rsidRDefault="00000000">
          <w:pPr>
            <w:pStyle w:val="TOC2"/>
            <w:tabs>
              <w:tab w:val="right" w:leader="dot" w:pos="9648"/>
            </w:tabs>
          </w:pPr>
          <w:r>
            <w:rPr>
              <w:rFonts w:ascii="Arial" w:hAnsi="Arial" w:cs="Arial"/>
            </w:rPr>
            <w:t>3.2 Medical device and in vitro diagnostic regulation</w:t>
          </w:r>
          <w:r>
            <w:tab/>
          </w:r>
          <w:r>
            <w:rPr>
              <w:rFonts w:ascii="Arial" w:hAnsi="Arial" w:cs="Arial"/>
            </w:rPr>
            <w:t>11</w:t>
          </w:r>
        </w:p>
        <w:p w14:paraId="7A1A14D5" w14:textId="77777777" w:rsidR="00922B2D" w:rsidRDefault="00000000">
          <w:pPr>
            <w:pStyle w:val="TOC2"/>
            <w:tabs>
              <w:tab w:val="right" w:leader="dot" w:pos="9648"/>
            </w:tabs>
          </w:pPr>
          <w:r>
            <w:rPr>
              <w:rFonts w:ascii="Arial" w:hAnsi="Arial" w:cs="Arial"/>
            </w:rPr>
            <w:t>3.3 Artificial intelligence regulation</w:t>
          </w:r>
          <w:r>
            <w:tab/>
          </w:r>
          <w:r>
            <w:rPr>
              <w:rFonts w:ascii="Arial" w:hAnsi="Arial" w:cs="Arial"/>
            </w:rPr>
            <w:t>12</w:t>
          </w:r>
        </w:p>
        <w:p w14:paraId="559E27F0" w14:textId="77777777" w:rsidR="00922B2D" w:rsidRDefault="00000000">
          <w:pPr>
            <w:pStyle w:val="TOC2"/>
            <w:tabs>
              <w:tab w:val="right" w:leader="dot" w:pos="9648"/>
            </w:tabs>
          </w:pPr>
          <w:r>
            <w:rPr>
              <w:rFonts w:ascii="Arial" w:hAnsi="Arial" w:cs="Arial"/>
            </w:rPr>
            <w:t>3.4 Substances of human origin and assisted reproduction law</w:t>
          </w:r>
          <w:r>
            <w:tab/>
          </w:r>
          <w:r>
            <w:rPr>
              <w:rFonts w:ascii="Arial" w:hAnsi="Arial" w:cs="Arial"/>
            </w:rPr>
            <w:t>12</w:t>
          </w:r>
        </w:p>
        <w:p w14:paraId="2F6F0611" w14:textId="77777777" w:rsidR="00922B2D" w:rsidRDefault="00000000">
          <w:pPr>
            <w:pStyle w:val="TOC2"/>
            <w:tabs>
              <w:tab w:val="right" w:leader="dot" w:pos="9648"/>
            </w:tabs>
          </w:pPr>
          <w:r>
            <w:rPr>
              <w:rFonts w:ascii="Arial" w:hAnsi="Arial" w:cs="Arial"/>
            </w:rPr>
            <w:t>3.5 Research ethics and patient perspectives</w:t>
          </w:r>
          <w:r>
            <w:tab/>
          </w:r>
          <w:r>
            <w:rPr>
              <w:rFonts w:ascii="Arial" w:hAnsi="Arial" w:cs="Arial"/>
            </w:rPr>
            <w:t>13</w:t>
          </w:r>
        </w:p>
        <w:p w14:paraId="514898E2" w14:textId="77777777" w:rsidR="00922B2D" w:rsidRDefault="00000000">
          <w:pPr>
            <w:pStyle w:val="TOC2"/>
            <w:tabs>
              <w:tab w:val="right" w:leader="dot" w:pos="9648"/>
            </w:tabs>
          </w:pPr>
          <w:r>
            <w:rPr>
              <w:rFonts w:ascii="Arial" w:hAnsi="Arial" w:cs="Arial"/>
            </w:rPr>
            <w:t>3.6 Health data governance: the European Health Data Space</w:t>
          </w:r>
          <w:r>
            <w:tab/>
          </w:r>
          <w:r>
            <w:rPr>
              <w:rFonts w:ascii="Arial" w:hAnsi="Arial" w:cs="Arial"/>
            </w:rPr>
            <w:t>13</w:t>
          </w:r>
        </w:p>
        <w:p w14:paraId="691E06B7" w14:textId="77777777" w:rsidR="00922B2D" w:rsidRDefault="00000000">
          <w:pPr>
            <w:pStyle w:val="TOC2"/>
            <w:tabs>
              <w:tab w:val="right" w:leader="dot" w:pos="9648"/>
            </w:tabs>
          </w:pPr>
          <w:r>
            <w:rPr>
              <w:rFonts w:ascii="Arial" w:hAnsi="Arial" w:cs="Arial"/>
            </w:rPr>
            <w:t>3.7 Regulatory checkpoints in the practical workflow</w:t>
          </w:r>
          <w:r>
            <w:tab/>
          </w:r>
          <w:r>
            <w:rPr>
              <w:rFonts w:ascii="Arial" w:hAnsi="Arial" w:cs="Arial"/>
            </w:rPr>
            <w:t>13</w:t>
          </w:r>
        </w:p>
        <w:p w14:paraId="3FF49AE8" w14:textId="77777777" w:rsidR="00922B2D" w:rsidRDefault="00000000">
          <w:pPr>
            <w:pStyle w:val="TOC1"/>
            <w:tabs>
              <w:tab w:val="right" w:leader="dot" w:pos="9648"/>
            </w:tabs>
          </w:pPr>
          <w:r>
            <w:rPr>
              <w:rFonts w:ascii="Arial" w:hAnsi="Arial" w:cs="Arial"/>
            </w:rPr>
            <w:t>4. Harmonising practices across sites and sectors</w:t>
          </w:r>
          <w:r>
            <w:tab/>
          </w:r>
          <w:r>
            <w:rPr>
              <w:rFonts w:ascii="Arial" w:hAnsi="Arial" w:cs="Arial"/>
            </w:rPr>
            <w:t>14</w:t>
          </w:r>
        </w:p>
        <w:p w14:paraId="25E79CDC" w14:textId="77777777" w:rsidR="00922B2D" w:rsidRDefault="00000000">
          <w:pPr>
            <w:pStyle w:val="TOC2"/>
            <w:tabs>
              <w:tab w:val="right" w:leader="dot" w:pos="9648"/>
            </w:tabs>
          </w:pPr>
          <w:r>
            <w:rPr>
              <w:rFonts w:ascii="Arial" w:hAnsi="Arial" w:cs="Arial"/>
            </w:rPr>
            <w:t>4.1 Why harmonisation matters</w:t>
          </w:r>
          <w:r>
            <w:tab/>
          </w:r>
          <w:r>
            <w:rPr>
              <w:rFonts w:ascii="Arial" w:hAnsi="Arial" w:cs="Arial"/>
            </w:rPr>
            <w:t>14</w:t>
          </w:r>
        </w:p>
        <w:p w14:paraId="417970F3" w14:textId="77777777" w:rsidR="00922B2D" w:rsidRDefault="00000000">
          <w:pPr>
            <w:pStyle w:val="TOC2"/>
            <w:tabs>
              <w:tab w:val="right" w:leader="dot" w:pos="9648"/>
            </w:tabs>
          </w:pPr>
          <w:r>
            <w:rPr>
              <w:rFonts w:ascii="Arial" w:hAnsi="Arial" w:cs="Arial"/>
            </w:rPr>
            <w:t>4.2 Principles</w:t>
          </w:r>
          <w:r>
            <w:tab/>
          </w:r>
          <w:r>
            <w:rPr>
              <w:rFonts w:ascii="Arial" w:hAnsi="Arial" w:cs="Arial"/>
            </w:rPr>
            <w:t>14</w:t>
          </w:r>
        </w:p>
        <w:p w14:paraId="6AEEE9A0" w14:textId="77777777" w:rsidR="00922B2D" w:rsidRDefault="00000000">
          <w:pPr>
            <w:pStyle w:val="TOC2"/>
            <w:tabs>
              <w:tab w:val="right" w:leader="dot" w:pos="9648"/>
            </w:tabs>
          </w:pPr>
          <w:r>
            <w:rPr>
              <w:rFonts w:ascii="Arial" w:hAnsi="Arial" w:cs="Arial"/>
            </w:rPr>
            <w:t>4.3 What to harmonise</w:t>
          </w:r>
          <w:r>
            <w:tab/>
          </w:r>
          <w:r>
            <w:rPr>
              <w:rFonts w:ascii="Arial" w:hAnsi="Arial" w:cs="Arial"/>
            </w:rPr>
            <w:t>15</w:t>
          </w:r>
        </w:p>
        <w:p w14:paraId="6A8586AC" w14:textId="77777777" w:rsidR="00922B2D" w:rsidRDefault="00000000">
          <w:pPr>
            <w:pStyle w:val="TOC2"/>
            <w:tabs>
              <w:tab w:val="right" w:leader="dot" w:pos="9648"/>
            </w:tabs>
          </w:pPr>
          <w:r>
            <w:rPr>
              <w:rFonts w:ascii="Arial" w:hAnsi="Arial" w:cs="Arial"/>
            </w:rPr>
            <w:t>4.4 Organisational models for multi-site evaluation</w:t>
          </w:r>
          <w:r>
            <w:tab/>
          </w:r>
          <w:r>
            <w:rPr>
              <w:rFonts w:ascii="Arial" w:hAnsi="Arial" w:cs="Arial"/>
            </w:rPr>
            <w:t>15</w:t>
          </w:r>
        </w:p>
        <w:p w14:paraId="1F8C75E3" w14:textId="77777777" w:rsidR="00922B2D" w:rsidRDefault="00000000">
          <w:pPr>
            <w:pStyle w:val="TOC2"/>
            <w:tabs>
              <w:tab w:val="right" w:leader="dot" w:pos="9648"/>
            </w:tabs>
          </w:pPr>
          <w:r>
            <w:rPr>
              <w:rFonts w:ascii="Arial" w:hAnsi="Arial" w:cs="Arial"/>
            </w:rPr>
            <w:t>4.5 Building harmonisation into the partnership</w:t>
          </w:r>
          <w:r>
            <w:tab/>
          </w:r>
          <w:r>
            <w:rPr>
              <w:rFonts w:ascii="Arial" w:hAnsi="Arial" w:cs="Arial"/>
            </w:rPr>
            <w:t>16</w:t>
          </w:r>
        </w:p>
        <w:p w14:paraId="6A93538A" w14:textId="77777777" w:rsidR="00922B2D" w:rsidRDefault="00000000">
          <w:pPr>
            <w:pStyle w:val="TOC1"/>
            <w:tabs>
              <w:tab w:val="right" w:leader="dot" w:pos="9648"/>
            </w:tabs>
          </w:pPr>
          <w:r>
            <w:rPr>
              <w:rFonts w:ascii="Arial" w:hAnsi="Arial" w:cs="Arial"/>
            </w:rPr>
            <w:t>5. Practical workflow</w:t>
          </w:r>
          <w:r>
            <w:tab/>
          </w:r>
          <w:r>
            <w:rPr>
              <w:rFonts w:ascii="Arial" w:hAnsi="Arial" w:cs="Arial"/>
            </w:rPr>
            <w:t>16</w:t>
          </w:r>
        </w:p>
        <w:p w14:paraId="30F8B950" w14:textId="77777777" w:rsidR="00922B2D" w:rsidRDefault="00000000">
          <w:pPr>
            <w:pStyle w:val="TOC2"/>
            <w:tabs>
              <w:tab w:val="right" w:leader="dot" w:pos="9648"/>
            </w:tabs>
          </w:pPr>
          <w:r>
            <w:rPr>
              <w:rFonts w:ascii="Arial" w:hAnsi="Arial" w:cs="Arial"/>
            </w:rPr>
            <w:t>5.1 Task definition</w:t>
          </w:r>
          <w:r>
            <w:tab/>
          </w:r>
          <w:r>
            <w:rPr>
              <w:rFonts w:ascii="Arial" w:hAnsi="Arial" w:cs="Arial"/>
            </w:rPr>
            <w:t>17</w:t>
          </w:r>
        </w:p>
        <w:p w14:paraId="50EA0648" w14:textId="77777777" w:rsidR="00922B2D" w:rsidRDefault="00000000">
          <w:pPr>
            <w:pStyle w:val="TOC2"/>
            <w:tabs>
              <w:tab w:val="right" w:leader="dot" w:pos="9648"/>
            </w:tabs>
          </w:pPr>
          <w:r>
            <w:rPr>
              <w:rFonts w:ascii="Arial" w:hAnsi="Arial" w:cs="Arial"/>
            </w:rPr>
            <w:t>5.2 Data description</w:t>
          </w:r>
          <w:r>
            <w:tab/>
          </w:r>
          <w:r>
            <w:rPr>
              <w:rFonts w:ascii="Arial" w:hAnsi="Arial" w:cs="Arial"/>
            </w:rPr>
            <w:t>17</w:t>
          </w:r>
        </w:p>
        <w:p w14:paraId="3CFFD84A" w14:textId="77777777" w:rsidR="00922B2D" w:rsidRDefault="00000000">
          <w:pPr>
            <w:pStyle w:val="TOC2"/>
            <w:tabs>
              <w:tab w:val="right" w:leader="dot" w:pos="9648"/>
            </w:tabs>
          </w:pPr>
          <w:r>
            <w:rPr>
              <w:rFonts w:ascii="Arial" w:hAnsi="Arial" w:cs="Arial"/>
            </w:rPr>
            <w:t>5.3 Model identification</w:t>
          </w:r>
          <w:r>
            <w:tab/>
          </w:r>
          <w:r>
            <w:rPr>
              <w:rFonts w:ascii="Arial" w:hAnsi="Arial" w:cs="Arial"/>
            </w:rPr>
            <w:t>18</w:t>
          </w:r>
        </w:p>
        <w:p w14:paraId="3E196A72" w14:textId="77777777" w:rsidR="00922B2D" w:rsidRDefault="00000000">
          <w:pPr>
            <w:pStyle w:val="TOC2"/>
            <w:tabs>
              <w:tab w:val="right" w:leader="dot" w:pos="9648"/>
            </w:tabs>
          </w:pPr>
          <w:r>
            <w:rPr>
              <w:rFonts w:ascii="Arial" w:hAnsi="Arial" w:cs="Arial"/>
            </w:rPr>
            <w:t>5.4 Evaluation and visual review</w:t>
          </w:r>
          <w:r>
            <w:tab/>
          </w:r>
          <w:r>
            <w:rPr>
              <w:rFonts w:ascii="Arial" w:hAnsi="Arial" w:cs="Arial"/>
            </w:rPr>
            <w:t>18</w:t>
          </w:r>
        </w:p>
        <w:p w14:paraId="70156FE7" w14:textId="77777777" w:rsidR="00922B2D" w:rsidRDefault="00000000">
          <w:pPr>
            <w:pStyle w:val="TOC2"/>
            <w:tabs>
              <w:tab w:val="right" w:leader="dot" w:pos="9648"/>
            </w:tabs>
          </w:pPr>
          <w:r>
            <w:rPr>
              <w:rFonts w:ascii="Arial" w:hAnsi="Arial" w:cs="Arial"/>
            </w:rPr>
            <w:t>5.5 Documentation and interpretation</w:t>
          </w:r>
          <w:r>
            <w:tab/>
          </w:r>
          <w:r>
            <w:rPr>
              <w:rFonts w:ascii="Arial" w:hAnsi="Arial" w:cs="Arial"/>
            </w:rPr>
            <w:t>19</w:t>
          </w:r>
        </w:p>
        <w:p w14:paraId="0172DE9E" w14:textId="77777777" w:rsidR="00922B2D" w:rsidRDefault="00000000">
          <w:pPr>
            <w:pStyle w:val="TOC1"/>
            <w:tabs>
              <w:tab w:val="right" w:leader="dot" w:pos="9648"/>
            </w:tabs>
          </w:pPr>
          <w:r>
            <w:rPr>
              <w:rFonts w:ascii="Arial" w:hAnsi="Arial" w:cs="Arial"/>
            </w:rPr>
            <w:t>6. Embryo image-analysis example</w:t>
          </w:r>
          <w:r>
            <w:tab/>
          </w:r>
          <w:r>
            <w:rPr>
              <w:rFonts w:ascii="Arial" w:hAnsi="Arial" w:cs="Arial"/>
            </w:rPr>
            <w:t>19</w:t>
          </w:r>
        </w:p>
        <w:p w14:paraId="2ED303E1" w14:textId="77777777" w:rsidR="00922B2D" w:rsidRDefault="00000000">
          <w:pPr>
            <w:pStyle w:val="TOC2"/>
            <w:tabs>
              <w:tab w:val="right" w:leader="dot" w:pos="9648"/>
            </w:tabs>
          </w:pPr>
          <w:r>
            <w:rPr>
              <w:rFonts w:ascii="Arial" w:hAnsi="Arial" w:cs="Arial"/>
            </w:rPr>
            <w:t>6.1 Task definition</w:t>
          </w:r>
          <w:r>
            <w:tab/>
          </w:r>
          <w:r>
            <w:rPr>
              <w:rFonts w:ascii="Arial" w:hAnsi="Arial" w:cs="Arial"/>
            </w:rPr>
            <w:t>19</w:t>
          </w:r>
        </w:p>
        <w:p w14:paraId="70489638" w14:textId="77777777" w:rsidR="00922B2D" w:rsidRDefault="00000000">
          <w:pPr>
            <w:pStyle w:val="TOC2"/>
            <w:tabs>
              <w:tab w:val="right" w:leader="dot" w:pos="9648"/>
            </w:tabs>
          </w:pPr>
          <w:r>
            <w:rPr>
              <w:rFonts w:ascii="Arial" w:hAnsi="Arial" w:cs="Arial"/>
            </w:rPr>
            <w:t>6.2 Data description</w:t>
          </w:r>
          <w:r>
            <w:tab/>
          </w:r>
          <w:r>
            <w:rPr>
              <w:rFonts w:ascii="Arial" w:hAnsi="Arial" w:cs="Arial"/>
            </w:rPr>
            <w:t>20</w:t>
          </w:r>
        </w:p>
        <w:p w14:paraId="2BB7D2A0" w14:textId="77777777" w:rsidR="00922B2D" w:rsidRDefault="00000000">
          <w:pPr>
            <w:pStyle w:val="TOC2"/>
            <w:tabs>
              <w:tab w:val="right" w:leader="dot" w:pos="9648"/>
            </w:tabs>
          </w:pPr>
          <w:r>
            <w:rPr>
              <w:rFonts w:ascii="Arial" w:hAnsi="Arial" w:cs="Arial"/>
            </w:rPr>
            <w:t>6.3 Model identification</w:t>
          </w:r>
          <w:r>
            <w:tab/>
          </w:r>
          <w:r>
            <w:rPr>
              <w:rFonts w:ascii="Arial" w:hAnsi="Arial" w:cs="Arial"/>
            </w:rPr>
            <w:t>20</w:t>
          </w:r>
        </w:p>
        <w:p w14:paraId="46181220" w14:textId="77777777" w:rsidR="00922B2D" w:rsidRDefault="00000000">
          <w:pPr>
            <w:pStyle w:val="TOC2"/>
            <w:tabs>
              <w:tab w:val="right" w:leader="dot" w:pos="9648"/>
            </w:tabs>
          </w:pPr>
          <w:r>
            <w:rPr>
              <w:rFonts w:ascii="Arial" w:hAnsi="Arial" w:cs="Arial"/>
            </w:rPr>
            <w:t>6.4 Evaluation and visual review</w:t>
          </w:r>
          <w:r>
            <w:tab/>
          </w:r>
          <w:r>
            <w:rPr>
              <w:rFonts w:ascii="Arial" w:hAnsi="Arial" w:cs="Arial"/>
            </w:rPr>
            <w:t>20</w:t>
          </w:r>
        </w:p>
        <w:p w14:paraId="247C32D6" w14:textId="77777777" w:rsidR="00922B2D" w:rsidRDefault="00000000">
          <w:pPr>
            <w:pStyle w:val="TOC2"/>
            <w:tabs>
              <w:tab w:val="right" w:leader="dot" w:pos="9648"/>
            </w:tabs>
          </w:pPr>
          <w:r>
            <w:rPr>
              <w:rFonts w:ascii="Arial" w:hAnsi="Arial" w:cs="Arial"/>
            </w:rPr>
            <w:t>6.5 Documentation and interpretation</w:t>
          </w:r>
          <w:r>
            <w:tab/>
          </w:r>
          <w:r>
            <w:rPr>
              <w:rFonts w:ascii="Arial" w:hAnsi="Arial" w:cs="Arial"/>
            </w:rPr>
            <w:t>21</w:t>
          </w:r>
        </w:p>
        <w:p w14:paraId="4BB71415" w14:textId="77777777" w:rsidR="00922B2D" w:rsidRDefault="00000000">
          <w:pPr>
            <w:pStyle w:val="TOC2"/>
            <w:tabs>
              <w:tab w:val="right" w:leader="dot" w:pos="9648"/>
            </w:tabs>
          </w:pPr>
          <w:r>
            <w:rPr>
              <w:rFonts w:ascii="Arial" w:hAnsi="Arial" w:cs="Arial"/>
            </w:rPr>
            <w:t>6.6 From research workflow to clinical validation</w:t>
          </w:r>
          <w:r>
            <w:tab/>
          </w:r>
          <w:r>
            <w:rPr>
              <w:rFonts w:ascii="Arial" w:hAnsi="Arial" w:cs="Arial"/>
            </w:rPr>
            <w:t>21</w:t>
          </w:r>
        </w:p>
        <w:p w14:paraId="498A4963" w14:textId="77777777" w:rsidR="00922B2D" w:rsidRDefault="00000000">
          <w:pPr>
            <w:pStyle w:val="TOC1"/>
            <w:tabs>
              <w:tab w:val="right" w:leader="dot" w:pos="9648"/>
            </w:tabs>
          </w:pPr>
          <w:r>
            <w:rPr>
              <w:rFonts w:ascii="Arial" w:hAnsi="Arial" w:cs="Arial"/>
            </w:rPr>
            <w:t>7. Open-access web-based guidelines</w:t>
          </w:r>
          <w:r>
            <w:tab/>
          </w:r>
          <w:r>
            <w:rPr>
              <w:rFonts w:ascii="Arial" w:hAnsi="Arial" w:cs="Arial"/>
            </w:rPr>
            <w:t>21</w:t>
          </w:r>
        </w:p>
        <w:p w14:paraId="592E3A0C" w14:textId="77777777" w:rsidR="00922B2D" w:rsidRDefault="00000000">
          <w:pPr>
            <w:pStyle w:val="TOC1"/>
            <w:tabs>
              <w:tab w:val="right" w:leader="dot" w:pos="9648"/>
            </w:tabs>
          </w:pPr>
          <w:r>
            <w:rPr>
              <w:rFonts w:ascii="Arial" w:hAnsi="Arial" w:cs="Arial"/>
            </w:rPr>
            <w:t>8. Limitations and solutions</w:t>
          </w:r>
          <w:r>
            <w:tab/>
          </w:r>
          <w:r>
            <w:rPr>
              <w:rFonts w:ascii="Arial" w:hAnsi="Arial" w:cs="Arial"/>
            </w:rPr>
            <w:t>22</w:t>
          </w:r>
        </w:p>
        <w:p w14:paraId="5D75CB74" w14:textId="77777777" w:rsidR="00922B2D" w:rsidRDefault="00000000">
          <w:pPr>
            <w:pStyle w:val="TOC1"/>
            <w:tabs>
              <w:tab w:val="right" w:leader="dot" w:pos="9648"/>
            </w:tabs>
          </w:pPr>
          <w:r>
            <w:rPr>
              <w:rFonts w:ascii="Arial" w:hAnsi="Arial" w:cs="Arial"/>
            </w:rPr>
            <w:t>9. Conclusions and next steps</w:t>
          </w:r>
          <w:r>
            <w:tab/>
          </w:r>
          <w:r>
            <w:rPr>
              <w:rFonts w:ascii="Arial" w:hAnsi="Arial" w:cs="Arial"/>
            </w:rPr>
            <w:t>23</w:t>
          </w:r>
        </w:p>
        <w:p w14:paraId="0B0B0CF7" w14:textId="77777777" w:rsidR="00922B2D" w:rsidRDefault="00000000">
          <w:pPr>
            <w:pStyle w:val="TOC1"/>
            <w:tabs>
              <w:tab w:val="right" w:leader="dot" w:pos="9648"/>
            </w:tabs>
          </w:pPr>
          <w:r>
            <w:rPr>
              <w:rFonts w:ascii="Arial" w:hAnsi="Arial" w:cs="Arial"/>
            </w:rPr>
            <w:t>10. Legacy plans</w:t>
          </w:r>
          <w:r>
            <w:tab/>
          </w:r>
          <w:r>
            <w:rPr>
              <w:rFonts w:ascii="Arial" w:hAnsi="Arial" w:cs="Arial"/>
            </w:rPr>
            <w:t>24</w:t>
          </w:r>
        </w:p>
        <w:p w14:paraId="41FD21D1" w14:textId="77777777" w:rsidR="00922B2D" w:rsidRDefault="00000000">
          <w:pPr>
            <w:pStyle w:val="TOC2"/>
            <w:tabs>
              <w:tab w:val="right" w:leader="dot" w:pos="9648"/>
            </w:tabs>
          </w:pPr>
          <w:r>
            <w:rPr>
              <w:rFonts w:ascii="Arial" w:hAnsi="Arial" w:cs="Arial"/>
            </w:rPr>
            <w:t>10.1 What NESTOR leaves behind</w:t>
          </w:r>
          <w:r>
            <w:tab/>
          </w:r>
          <w:r>
            <w:rPr>
              <w:rFonts w:ascii="Arial" w:hAnsi="Arial" w:cs="Arial"/>
            </w:rPr>
            <w:t>24</w:t>
          </w:r>
        </w:p>
        <w:p w14:paraId="270730B6" w14:textId="77777777" w:rsidR="00922B2D" w:rsidRDefault="00000000">
          <w:pPr>
            <w:pStyle w:val="TOC2"/>
            <w:tabs>
              <w:tab w:val="right" w:leader="dot" w:pos="9648"/>
            </w:tabs>
          </w:pPr>
          <w:r>
            <w:rPr>
              <w:rFonts w:ascii="Arial" w:hAnsi="Arial" w:cs="Arial"/>
            </w:rPr>
            <w:t>10.2 NEO-LIFE: the follow-on project</w:t>
          </w:r>
          <w:r>
            <w:tab/>
          </w:r>
          <w:r>
            <w:rPr>
              <w:rFonts w:ascii="Arial" w:hAnsi="Arial" w:cs="Arial"/>
            </w:rPr>
            <w:t>24</w:t>
          </w:r>
        </w:p>
        <w:p w14:paraId="59E46B2A" w14:textId="77777777" w:rsidR="00922B2D" w:rsidRDefault="00000000">
          <w:pPr>
            <w:pStyle w:val="TOC2"/>
            <w:tabs>
              <w:tab w:val="right" w:leader="dot" w:pos="9648"/>
            </w:tabs>
          </w:pPr>
          <w:r>
            <w:rPr>
              <w:rFonts w:ascii="Arial" w:hAnsi="Arial" w:cs="Arial"/>
            </w:rPr>
            <w:t>10.3 Keeping the guidelines alive</w:t>
          </w:r>
          <w:r>
            <w:tab/>
          </w:r>
          <w:r>
            <w:rPr>
              <w:rFonts w:ascii="Arial" w:hAnsi="Arial" w:cs="Arial"/>
            </w:rPr>
            <w:t>25</w:t>
          </w:r>
        </w:p>
        <w:p w14:paraId="2AF01B2D" w14:textId="77777777" w:rsidR="00922B2D" w:rsidRDefault="00000000">
          <w:pPr>
            <w:pStyle w:val="TOC1"/>
            <w:tabs>
              <w:tab w:val="right" w:leader="dot" w:pos="9648"/>
            </w:tabs>
          </w:pPr>
          <w:r>
            <w:rPr>
              <w:rFonts w:ascii="Arial" w:hAnsi="Arial" w:cs="Arial"/>
            </w:rPr>
            <w:t>References</w:t>
          </w:r>
          <w:r>
            <w:tab/>
          </w:r>
          <w:r>
            <w:rPr>
              <w:rFonts w:ascii="Arial" w:hAnsi="Arial" w:cs="Arial"/>
            </w:rPr>
            <w:t>25</w:t>
          </w:r>
        </w:p>
        <w:p w14:paraId="584F5CEC" w14:textId="77777777" w:rsidR="00922B2D" w:rsidRDefault="00000000">
          <w:pPr>
            <w:pStyle w:val="TOC1"/>
            <w:tabs>
              <w:tab w:val="right" w:leader="dot" w:pos="9648"/>
            </w:tabs>
          </w:pPr>
          <w:r>
            <w:rPr>
              <w:rFonts w:ascii="Arial" w:hAnsi="Arial" w:cs="Arial"/>
            </w:rPr>
            <w:t>Annex A. Validation checklist</w:t>
          </w:r>
          <w:r>
            <w:tab/>
          </w:r>
          <w:r>
            <w:rPr>
              <w:rFonts w:ascii="Arial" w:hAnsi="Arial" w:cs="Arial"/>
            </w:rPr>
            <w:t>27</w:t>
          </w:r>
          <w:r>
            <w:fldChar w:fldCharType="end"/>
          </w:r>
        </w:p>
      </w:sdtContent>
    </w:sdt>
    <w:p w14:paraId="77AC9FD3" w14:textId="77777777" w:rsidR="00421570" w:rsidRPr="0017344A" w:rsidRDefault="00000000">
      <w:pPr>
        <w:pStyle w:val="Heading1"/>
        <w:pageBreakBefore/>
        <w:rPr>
          <w:rFonts w:ascii="Arial" w:hAnsi="Arial" w:cs="Arial"/>
        </w:rPr>
      </w:pPr>
      <w:bookmarkStart w:id="0" w:name="_Toc241574638"/>
      <w:r w:rsidRPr="0017344A">
        <w:rPr>
          <w:rFonts w:ascii="Arial" w:hAnsi="Arial" w:cs="Arial"/>
        </w:rPr>
        <w:lastRenderedPageBreak/>
        <w:t>Executive summary</w:t>
      </w:r>
      <w:bookmarkEnd w:id="0"/>
    </w:p>
    <w:p w14:paraId="347C568B" w14:textId="77777777" w:rsidR="00922B2D" w:rsidRDefault="00000000">
      <w:r>
        <w:rPr>
          <w:rFonts w:ascii="Arial" w:hAnsi="Arial" w:cs="Arial"/>
        </w:rPr>
        <w:t>Data-driven methods, and artificial intelligence (AI) in particular, are among the most promising routes to better outcomes in assisted reproduction, from embryo assessment to the personalisation of treatment [1]. The field has also learned that innovations can reach patients faster than the evidence behind them: several IVF “add-ons” entered routine practice before robust evidence of benefit was available, leaving patients poorly informed about what they were paying for [2, 3]. The task for reproductive medicine is therefore not only to develop new data-driven methods, but to validate them rigorously before they inform care.</w:t>
      </w:r>
    </w:p>
    <w:p w14:paraId="2110D3C3" w14:textId="77777777" w:rsidR="00922B2D" w:rsidRDefault="00000000">
      <w:r>
        <w:rPr>
          <w:rFonts w:ascii="Arial" w:hAnsi="Arial" w:cs="Arial"/>
        </w:rPr>
        <w:t>Researchers in the NESTOR consortium have contributed substantially to this field. They have used generative AI to produce high-fidelity images of blastocyst-stage embryos, an approach that can enlarge and balance the data available for training and testing embryo image-analysis models [4]. They have also developed machine-learning frameworks that integrate several sources of data, such as multi-omics stratification of endometrial carcinoma molecular subtypes to support risk classification [5], and deep-learning prediction of gene expression from histopathology that identified a candidate biomarker and druggable target in ovarian cancer [6]. Yet the distance between a method that performs well in a research setting and one that can responsibly inform clinical care remains large. What closes that distance is validation: documented evidence that a method does what it claims, for a defined group of patients, in a defined setting, reproducibly and lawfully. Deliverable D3.3 sets out how NESTOR partners produce that evidence.</w:t>
      </w:r>
    </w:p>
    <w:p w14:paraId="1D989B56" w14:textId="77777777" w:rsidR="00922B2D" w:rsidRDefault="00000000">
      <w:r>
        <w:rPr>
          <w:rFonts w:ascii="Arial" w:hAnsi="Arial" w:cs="Arial"/>
        </w:rPr>
        <w:t>The deliverable provides protocols, standard operating procedures (SOPs) and practical recommendations for validating data-driven methods on the way to clinical practice, as foreseen in Task T3.1 of the NESTOR Description of Action. At its core is a five-stage practical workflow (task definition, data description, model identification, evaluation and visual review, documentation and interpretation) applied to a NESTOR study of embryo development and hatching. The guidelines are also published as open-access web pages so that they can be used beyond the consortium. Although the worked example uses time-lapse embryo data, the workflow, the legal framework and the harmonisation principles are not specific to embryology. They can be adapted to the other translational strands of NESTOR, including uterine health and feto-maternal medicine, and to multimodal tools that combine imaging, omics and clinical data.</w:t>
      </w:r>
    </w:p>
    <w:p w14:paraId="028BEE44" w14:textId="77777777" w:rsidR="00922B2D" w:rsidRDefault="00000000">
      <w:r>
        <w:rPr>
          <w:rFonts w:ascii="Arial" w:hAnsi="Arial" w:cs="Arial"/>
          <w:b/>
        </w:rPr>
        <w:t>Why this matters across borders and sectors.</w:t>
      </w:r>
      <w:r>
        <w:rPr>
          <w:rFonts w:ascii="Arial" w:hAnsi="Arial" w:cs="Arial"/>
        </w:rPr>
        <w:t xml:space="preserve"> NESTOR connects universities, an IVF clinic, technology SMEs and an innovation campus in the Netherlands, Estonia and Greece. Validation is where such a partnership is tested most directly. Evidence produced in one clinic in one country cannot simply be assumed to hold in another: time-lapse systems, laboratory protocols, annotation practices and patient populations differ, and so does the national implementation of EU rules on data protection, research ethics and assisted reproduction. Within the partnership, no single sector holds everything that validation requires. Academic partners bring study design, statistics and ethics expertise. Clinics bring data, clinical judgement and knowledge of the clinical workflow. SMEs bring software engineering, quality management and experience of placing regulated products on the market, and the innovation campus brings routes to valorisation. The embryo-analysis work presented here shows this model in practice: a researcher from the Greek SME Infersence (INFS), seconded to Maastricht University (UM), carried out the analysis inside the approved computing environment at MUMC+. The expertise travelled across the border; the patient data did not.</w:t>
      </w:r>
    </w:p>
    <w:p w14:paraId="4D4046C6" w14:textId="77777777" w:rsidR="00922B2D" w:rsidRDefault="00000000">
      <w:r>
        <w:rPr>
          <w:rFonts w:ascii="Arial" w:hAnsi="Arial" w:cs="Arial"/>
          <w:b/>
        </w:rPr>
        <w:t>For Estonia and Greece as Widening countries,</w:t>
      </w:r>
      <w:r>
        <w:rPr>
          <w:rFonts w:ascii="Arial" w:hAnsi="Arial" w:cs="Arial"/>
        </w:rPr>
        <w:t xml:space="preserve"> shared and documented procedures lower the entry barrier to multi-centre validation. They allow local clinics and companies to contribute to the evidence behind new methods as equal partners, rather than adopting mature technology developed elsewhere. This directly serves NESTOR’s objective of strengthening the translation of research and innovation into ethically responsible clinical solutions.</w:t>
      </w:r>
    </w:p>
    <w:p w14:paraId="35E7E9E2" w14:textId="77777777" w:rsidR="00922B2D" w:rsidRDefault="00000000">
      <w:pPr>
        <w:keepNext/>
      </w:pPr>
      <w:r>
        <w:rPr>
          <w:rFonts w:ascii="Arial" w:hAnsi="Arial" w:cs="Arial"/>
          <w:b/>
        </w:rPr>
        <w:lastRenderedPageBreak/>
        <w:t>What this deliverable adds.</w:t>
      </w:r>
      <w:r>
        <w:rPr>
          <w:rFonts w:ascii="Arial" w:hAnsi="Arial" w:cs="Arial"/>
        </w:rPr>
        <w:t xml:space="preserve"> Compared with a purely technical protocol, D3.3 places the workflow in its legal, regulatory and organisational context:</w:t>
      </w:r>
    </w:p>
    <w:p w14:paraId="1D044651" w14:textId="77777777" w:rsidR="00922B2D" w:rsidRDefault="00000000">
      <w:pPr>
        <w:pStyle w:val="ListBullet"/>
      </w:pPr>
      <w:r>
        <w:rPr>
          <w:rFonts w:ascii="Arial" w:hAnsi="Arial" w:cs="Arial"/>
          <w:b/>
        </w:rPr>
        <w:t>A legal, regulatory and ethical framework (Chapter 3)</w:t>
      </w:r>
      <w:r>
        <w:rPr>
          <w:rFonts w:ascii="Arial" w:hAnsi="Arial" w:cs="Arial"/>
        </w:rPr>
        <w:t xml:space="preserve"> covering the General Data Protection Regulation (GDPR) [7] and its national implementations in the three countries, the Medical Device and In Vitro Diagnostic Medical Device Regulations (MDR and IVDR) [8, 9] including the in-house exemption, the AI Act as amended in 2026 [10, 11], the Substances of Human Origin (SoHO) Regulation that applies from August 2027 [12], the European Health Data Space (EHDS) [13] and research ethics [14]. These are translated into regulatory checkpoints for each workflow stage.</w:t>
      </w:r>
    </w:p>
    <w:p w14:paraId="480A4247" w14:textId="77777777" w:rsidR="00922B2D" w:rsidRDefault="00000000">
      <w:pPr>
        <w:pStyle w:val="ListBullet"/>
      </w:pPr>
      <w:r>
        <w:rPr>
          <w:rFonts w:ascii="Arial" w:hAnsi="Arial" w:cs="Arial"/>
          <w:b/>
        </w:rPr>
        <w:t>A harmonisation framework (Chapter 4)</w:t>
      </w:r>
      <w:r>
        <w:rPr>
          <w:rFonts w:ascii="Arial" w:hAnsi="Arial" w:cs="Arial"/>
        </w:rPr>
        <w:t xml:space="preserve"> that defines a common minimum set of practices for multi-site validation, covering image acquisition metadata, annotation, data dictionaries, quality review, performance measures, reporting and legal documentation. It also describes the organisational models, including federated “model-to-data” evaluation, through which partners in different countries and sectors can work together.</w:t>
      </w:r>
    </w:p>
    <w:p w14:paraId="4C9D881E" w14:textId="77777777" w:rsidR="00922B2D" w:rsidRDefault="00000000">
      <w:pPr>
        <w:pStyle w:val="ListBullet"/>
      </w:pPr>
      <w:r>
        <w:rPr>
          <w:rFonts w:ascii="Arial" w:hAnsi="Arial" w:cs="Arial"/>
          <w:b/>
        </w:rPr>
        <w:t>The practical workflow and the embryo image-analysis example (Chapters 5 and 6)</w:t>
      </w:r>
      <w:r>
        <w:rPr>
          <w:rFonts w:ascii="Arial" w:hAnsi="Arial" w:cs="Arial"/>
        </w:rPr>
        <w:t>, extended with cross-site and regulatory considerations and an explicit statement of what the current evidence does and does not establish.</w:t>
      </w:r>
    </w:p>
    <w:p w14:paraId="527BB712" w14:textId="77777777" w:rsidR="00922B2D" w:rsidRDefault="00000000">
      <w:pPr>
        <w:pStyle w:val="ListBullet"/>
      </w:pPr>
      <w:r>
        <w:rPr>
          <w:rFonts w:ascii="Arial" w:hAnsi="Arial" w:cs="Arial"/>
          <w:b/>
        </w:rPr>
        <w:t>An analysis of limitations and solutions (Chapter 8)</w:t>
      </w:r>
      <w:r>
        <w:rPr>
          <w:rFonts w:ascii="Arial" w:hAnsi="Arial" w:cs="Arial"/>
        </w:rPr>
        <w:t xml:space="preserve"> covering evidence, data, legal and organisational constraints, with a mitigation for each.</w:t>
      </w:r>
    </w:p>
    <w:p w14:paraId="6F2B1503" w14:textId="77777777" w:rsidR="00922B2D" w:rsidRDefault="00000000">
      <w:pPr>
        <w:pStyle w:val="ListBullet"/>
      </w:pPr>
      <w:r>
        <w:rPr>
          <w:rFonts w:ascii="Arial" w:hAnsi="Arial" w:cs="Arial"/>
          <w:b/>
        </w:rPr>
        <w:t>Legacy plans (Chapter 10)</w:t>
      </w:r>
      <w:r>
        <w:rPr>
          <w:rFonts w:ascii="Arial" w:hAnsi="Arial" w:cs="Arial"/>
        </w:rPr>
        <w:t xml:space="preserve"> describing how the guidelines, data standards and partnerships are sustained after NESTOR, notably through the follow-on project NEO-LIFE [15].</w:t>
      </w:r>
    </w:p>
    <w:p w14:paraId="62D20E5F" w14:textId="77777777" w:rsidR="00922B2D" w:rsidRDefault="00000000">
      <w:pPr>
        <w:pStyle w:val="ListBullet"/>
      </w:pPr>
      <w:r>
        <w:rPr>
          <w:rFonts w:ascii="Arial" w:hAnsi="Arial" w:cs="Arial"/>
          <w:b/>
        </w:rPr>
        <w:t>A validation checklist (Annex A)</w:t>
      </w:r>
      <w:r>
        <w:rPr>
          <w:rFonts w:ascii="Arial" w:hAnsi="Arial" w:cs="Arial"/>
        </w:rPr>
        <w:t xml:space="preserve"> that partners can use as a working SOP.</w:t>
      </w:r>
    </w:p>
    <w:p w14:paraId="2F7E3D23" w14:textId="77777777" w:rsidR="00922B2D" w:rsidRDefault="00000000">
      <w:pPr>
        <w:keepNext/>
      </w:pPr>
      <w:r>
        <w:rPr>
          <w:rFonts w:ascii="Arial" w:hAnsi="Arial" w:cs="Arial"/>
          <w:b/>
        </w:rPr>
        <w:t>Key messages.</w:t>
      </w:r>
    </w:p>
    <w:p w14:paraId="18FC2D67" w14:textId="77777777" w:rsidR="00922B2D" w:rsidRDefault="00000000">
      <w:pPr>
        <w:keepNext/>
        <w:ind w:left="360" w:hanging="360"/>
      </w:pPr>
      <w:r>
        <w:rPr>
          <w:rFonts w:ascii="Arial" w:hAnsi="Arial" w:cs="Arial"/>
        </w:rPr>
        <w:t>1. Validation is a chain of documented evidence linking a question, a dataset, a model version and a set of review decisions to a finding. It is not a single performance figure.</w:t>
      </w:r>
    </w:p>
    <w:p w14:paraId="1D66790D" w14:textId="77777777" w:rsidR="00922B2D" w:rsidRDefault="00000000">
      <w:pPr>
        <w:keepNext/>
        <w:ind w:left="360" w:hanging="360"/>
      </w:pPr>
      <w:r>
        <w:rPr>
          <w:rFonts w:ascii="Arial" w:hAnsi="Arial" w:cs="Arial"/>
        </w:rPr>
        <w:t>2. The regulatory status of a method follows from its intended purpose. The intended use should therefore be written down at the first stage and revisited whenever it changes. Research exemptions end when a method begins to inform the care of individual patients.</w:t>
      </w:r>
    </w:p>
    <w:p w14:paraId="7F3E96C6" w14:textId="77777777" w:rsidR="00922B2D" w:rsidRDefault="00000000">
      <w:pPr>
        <w:keepNext/>
        <w:ind w:left="360" w:hanging="360"/>
      </w:pPr>
      <w:r>
        <w:rPr>
          <w:rFonts w:ascii="Arial" w:hAnsi="Arial" w:cs="Arial"/>
        </w:rPr>
        <w:t>3. Harmonise the minimum and document the rest. Sites do not need identical equipment or protocols, but they need a shared vocabulary, a shared minimum dataset and transparent records of how they differ.</w:t>
      </w:r>
    </w:p>
    <w:p w14:paraId="1F2B2CD5" w14:textId="77777777" w:rsidR="00922B2D" w:rsidRDefault="00000000">
      <w:pPr>
        <w:keepNext/>
        <w:ind w:left="360" w:hanging="360"/>
      </w:pPr>
      <w:r>
        <w:rPr>
          <w:rFonts w:ascii="Arial" w:hAnsi="Arial" w:cs="Arial"/>
        </w:rPr>
        <w:t>4. Bring the analysis to the data. Federated, model-to-data evaluation within each institution’s approved environment is the default model for cross-border validation in NESTOR.</w:t>
      </w:r>
    </w:p>
    <w:p w14:paraId="5663A771" w14:textId="77777777" w:rsidR="00922B2D" w:rsidRDefault="00000000">
      <w:pPr>
        <w:keepNext/>
        <w:ind w:left="360" w:hanging="360"/>
      </w:pPr>
      <w:r>
        <w:rPr>
          <w:rFonts w:ascii="Arial" w:hAnsi="Arial" w:cs="Arial"/>
        </w:rPr>
        <w:t>5. The embryo image-analysis study provides research-grade evidence on how segmentation, visual review and quantitative measurement can be combined. It does not establish suitability for embryo selection or treatment decisions. Chapters 6 and 8 set out the steps required to get there.</w:t>
      </w:r>
    </w:p>
    <w:p w14:paraId="481B7F81" w14:textId="77777777" w:rsidR="00922B2D" w:rsidRDefault="00000000">
      <w:pPr>
        <w:ind w:left="360" w:hanging="360"/>
      </w:pPr>
      <w:r>
        <w:rPr>
          <w:rFonts w:ascii="Arial" w:hAnsi="Arial" w:cs="Arial"/>
        </w:rPr>
        <w:t>6. Validation capacity must outlast the project. The open guidelines, data-sharing standards and cross-sectoral partnerships built in NESTOR carry forward into NEO-LIFE, which extends them to federated data sharing, AI-assisted annotation and feto-maternal medicine.</w:t>
      </w:r>
    </w:p>
    <w:p w14:paraId="61F74F74" w14:textId="77777777" w:rsidR="00922B2D" w:rsidRDefault="00000000">
      <w:r>
        <w:rPr>
          <w:rFonts w:ascii="Arial" w:hAnsi="Arial" w:cs="Arial"/>
        </w:rPr>
        <w:t>The guidelines are intended for clinical embryologists, laboratory directors, data scientists, software developers in SMEs, quality and regulatory staff, and data protection and ethics officers involved in assisted reproductive technology (ART), both within the NESTOR consortium and beyond.</w:t>
      </w:r>
    </w:p>
    <w:p w14:paraId="67AFFBF1" w14:textId="77777777" w:rsidR="00421570" w:rsidRPr="0017344A" w:rsidRDefault="00000000">
      <w:pPr>
        <w:rPr>
          <w:rFonts w:ascii="Arial" w:hAnsi="Arial" w:cs="Arial"/>
        </w:rPr>
      </w:pPr>
      <w:r w:rsidRPr="0017344A">
        <w:rPr>
          <w:rFonts w:ascii="Arial" w:hAnsi="Arial" w:cs="Arial"/>
        </w:rPr>
        <w:br w:type="page"/>
      </w:r>
    </w:p>
    <w:p w14:paraId="65612E7B" w14:textId="77777777" w:rsidR="00421570" w:rsidRPr="0017344A" w:rsidRDefault="00421570">
      <w:pPr>
        <w:rPr>
          <w:rFonts w:ascii="Arial" w:hAnsi="Arial" w:cs="Arial"/>
        </w:rPr>
      </w:pPr>
    </w:p>
    <w:p w14:paraId="5C410E08" w14:textId="77777777" w:rsidR="00421570" w:rsidRPr="0017344A" w:rsidRDefault="00000000">
      <w:pPr>
        <w:pStyle w:val="Heading1"/>
        <w:rPr>
          <w:rFonts w:ascii="Arial" w:hAnsi="Arial" w:cs="Arial"/>
        </w:rPr>
      </w:pPr>
      <w:bookmarkStart w:id="1" w:name="_Toc241574639"/>
      <w:r w:rsidRPr="0017344A">
        <w:rPr>
          <w:rFonts w:ascii="Arial" w:hAnsi="Arial" w:cs="Arial"/>
        </w:rPr>
        <w:t>List of abbreviations</w:t>
      </w:r>
      <w:bookmarkEnd w:id="1"/>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200"/>
        <w:gridCol w:w="7400"/>
      </w:tblGrid>
      <w:tr w:rsidR="00421570" w:rsidRPr="0017344A" w14:paraId="2571BE31" w14:textId="77777777">
        <w:trPr>
          <w:cantSplit/>
          <w:tblHeader/>
        </w:trPr>
        <w:tc>
          <w:tcPr>
            <w:tcW w:w="2200" w:type="dxa"/>
            <w:shd w:val="clear" w:color="auto" w:fill="EEE8F3"/>
          </w:tcPr>
          <w:p w14:paraId="46C43195"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Abbreviation</w:t>
            </w:r>
          </w:p>
        </w:tc>
        <w:tc>
          <w:tcPr>
            <w:tcW w:w="7400" w:type="dxa"/>
            <w:shd w:val="clear" w:color="auto" w:fill="EEE8F3"/>
          </w:tcPr>
          <w:p w14:paraId="6FAEF173"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Meaning</w:t>
            </w:r>
          </w:p>
        </w:tc>
      </w:tr>
      <w:tr w:rsidR="00421570" w:rsidRPr="0017344A" w14:paraId="74A48D31" w14:textId="77777777">
        <w:trPr>
          <w:cantSplit/>
        </w:trPr>
        <w:tc>
          <w:tcPr>
            <w:tcW w:w="2200" w:type="dxa"/>
          </w:tcPr>
          <w:p w14:paraId="179A298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AB</w:t>
            </w:r>
          </w:p>
        </w:tc>
        <w:tc>
          <w:tcPr>
            <w:tcW w:w="7400" w:type="dxa"/>
          </w:tcPr>
          <w:p w14:paraId="1038F89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Advisory Board</w:t>
            </w:r>
          </w:p>
        </w:tc>
      </w:tr>
      <w:tr w:rsidR="00421570" w:rsidRPr="0017344A" w14:paraId="425CC56C" w14:textId="77777777">
        <w:trPr>
          <w:cantSplit/>
        </w:trPr>
        <w:tc>
          <w:tcPr>
            <w:tcW w:w="2200" w:type="dxa"/>
          </w:tcPr>
          <w:p w14:paraId="67C98BA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AI</w:t>
            </w:r>
          </w:p>
        </w:tc>
        <w:tc>
          <w:tcPr>
            <w:tcW w:w="7400" w:type="dxa"/>
          </w:tcPr>
          <w:p w14:paraId="3A008E3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Artificial intelligence</w:t>
            </w:r>
          </w:p>
        </w:tc>
      </w:tr>
      <w:tr w:rsidR="00421570" w:rsidRPr="0017344A" w14:paraId="34C56093" w14:textId="77777777">
        <w:trPr>
          <w:cantSplit/>
        </w:trPr>
        <w:tc>
          <w:tcPr>
            <w:tcW w:w="2200" w:type="dxa"/>
          </w:tcPr>
          <w:p w14:paraId="7C0E9A3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AN</w:t>
            </w:r>
          </w:p>
        </w:tc>
        <w:tc>
          <w:tcPr>
            <w:tcW w:w="7400" w:type="dxa"/>
          </w:tcPr>
          <w:p w14:paraId="573F5C5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Assisting Nature IVF clinic</w:t>
            </w:r>
          </w:p>
        </w:tc>
      </w:tr>
      <w:tr w:rsidR="00421570" w:rsidRPr="0017344A" w14:paraId="0CBD1269" w14:textId="77777777">
        <w:trPr>
          <w:cantSplit/>
        </w:trPr>
        <w:tc>
          <w:tcPr>
            <w:tcW w:w="2200" w:type="dxa"/>
          </w:tcPr>
          <w:p w14:paraId="1316B66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ART</w:t>
            </w:r>
          </w:p>
        </w:tc>
        <w:tc>
          <w:tcPr>
            <w:tcW w:w="7400" w:type="dxa"/>
          </w:tcPr>
          <w:p w14:paraId="695F6BF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Assisted reproductive technology</w:t>
            </w:r>
          </w:p>
        </w:tc>
      </w:tr>
      <w:tr w:rsidR="00421570" w:rsidRPr="0017344A" w14:paraId="538E7DF8" w14:textId="77777777">
        <w:trPr>
          <w:cantSplit/>
        </w:trPr>
        <w:tc>
          <w:tcPr>
            <w:tcW w:w="2200" w:type="dxa"/>
          </w:tcPr>
          <w:p w14:paraId="4C78046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AUT</w:t>
            </w:r>
          </w:p>
        </w:tc>
        <w:tc>
          <w:tcPr>
            <w:tcW w:w="7400" w:type="dxa"/>
          </w:tcPr>
          <w:p w14:paraId="334E07D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Aristotle University of Thessaloniki</w:t>
            </w:r>
          </w:p>
        </w:tc>
      </w:tr>
      <w:tr w:rsidR="00421570" w:rsidRPr="0017344A" w14:paraId="065673BC" w14:textId="77777777">
        <w:trPr>
          <w:cantSplit/>
        </w:trPr>
        <w:tc>
          <w:tcPr>
            <w:tcW w:w="2200" w:type="dxa"/>
          </w:tcPr>
          <w:p w14:paraId="1C8370E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BMHC</w:t>
            </w:r>
          </w:p>
        </w:tc>
        <w:tc>
          <w:tcPr>
            <w:tcW w:w="7400" w:type="dxa"/>
          </w:tcPr>
          <w:p w14:paraId="798F37A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Brightlands Maastricht Health Campus</w:t>
            </w:r>
          </w:p>
        </w:tc>
      </w:tr>
      <w:tr w:rsidR="00421570" w:rsidRPr="0017344A" w14:paraId="2CBB07D5" w14:textId="77777777">
        <w:trPr>
          <w:cantSplit/>
        </w:trPr>
        <w:tc>
          <w:tcPr>
            <w:tcW w:w="2200" w:type="dxa"/>
          </w:tcPr>
          <w:p w14:paraId="4B3A442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CE</w:t>
            </w:r>
          </w:p>
        </w:tc>
        <w:tc>
          <w:tcPr>
            <w:tcW w:w="7400" w:type="dxa"/>
          </w:tcPr>
          <w:p w14:paraId="155659A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Conformité Européenne (marking)</w:t>
            </w:r>
          </w:p>
        </w:tc>
      </w:tr>
      <w:tr w:rsidR="00421570" w:rsidRPr="0017344A" w14:paraId="0B87404F" w14:textId="77777777">
        <w:trPr>
          <w:cantSplit/>
        </w:trPr>
        <w:tc>
          <w:tcPr>
            <w:tcW w:w="2200" w:type="dxa"/>
          </w:tcPr>
          <w:p w14:paraId="1E2842E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 xml:space="preserve">Celvia</w:t>
            </w:r>
          </w:p>
        </w:tc>
        <w:tc>
          <w:tcPr>
            <w:tcW w:w="7400" w:type="dxa"/>
          </w:tcPr>
          <w:p w14:paraId="099A9D0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 xml:space="preserve">Technology SME partner in NESTOR</w:t>
            </w:r>
          </w:p>
        </w:tc>
      </w:tr>
      <w:tr w:rsidR="00421570" w:rsidRPr="0017344A" w14:paraId="4A8CD380" w14:textId="77777777">
        <w:trPr>
          <w:cantSplit/>
        </w:trPr>
        <w:tc>
          <w:tcPr>
            <w:tcW w:w="2200" w:type="dxa"/>
          </w:tcPr>
          <w:p w14:paraId="5EBAC89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DoA</w:t>
            </w:r>
          </w:p>
        </w:tc>
        <w:tc>
          <w:tcPr>
            <w:tcW w:w="7400" w:type="dxa"/>
          </w:tcPr>
          <w:p w14:paraId="3EAE94B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Description of Action</w:t>
            </w:r>
          </w:p>
        </w:tc>
      </w:tr>
      <w:tr w:rsidR="00421570" w:rsidRPr="0017344A" w14:paraId="23F4AFA2" w14:textId="77777777">
        <w:trPr>
          <w:cantSplit/>
        </w:trPr>
        <w:tc>
          <w:tcPr>
            <w:tcW w:w="2200" w:type="dxa"/>
          </w:tcPr>
          <w:p w14:paraId="179AC23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DPIA</w:t>
            </w:r>
          </w:p>
        </w:tc>
        <w:tc>
          <w:tcPr>
            <w:tcW w:w="7400" w:type="dxa"/>
          </w:tcPr>
          <w:p w14:paraId="2719CDB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protection impact assessment</w:t>
            </w:r>
          </w:p>
        </w:tc>
      </w:tr>
      <w:tr w:rsidR="00421570" w:rsidRPr="0017344A" w14:paraId="5920090B" w14:textId="77777777">
        <w:trPr>
          <w:cantSplit/>
        </w:trPr>
        <w:tc>
          <w:tcPr>
            <w:tcW w:w="2200" w:type="dxa"/>
          </w:tcPr>
          <w:p w14:paraId="7D02936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EHDS</w:t>
            </w:r>
          </w:p>
        </w:tc>
        <w:tc>
          <w:tcPr>
            <w:tcW w:w="7400" w:type="dxa"/>
          </w:tcPr>
          <w:p w14:paraId="66DD76B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European Health Data Space</w:t>
            </w:r>
          </w:p>
        </w:tc>
      </w:tr>
      <w:tr w:rsidR="00421570" w:rsidRPr="0017344A" w14:paraId="4741F765" w14:textId="77777777">
        <w:trPr>
          <w:cantSplit/>
        </w:trPr>
        <w:tc>
          <w:tcPr>
            <w:tcW w:w="2200" w:type="dxa"/>
          </w:tcPr>
          <w:p w14:paraId="3D07DE8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ESHRE</w:t>
            </w:r>
          </w:p>
        </w:tc>
        <w:tc>
          <w:tcPr>
            <w:tcW w:w="7400" w:type="dxa"/>
          </w:tcPr>
          <w:p w14:paraId="71F10B0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European Society of Human Reproduction and Embryology</w:t>
            </w:r>
          </w:p>
        </w:tc>
      </w:tr>
      <w:tr w:rsidR="00421570" w:rsidRPr="0017344A" w14:paraId="3291FC08" w14:textId="77777777">
        <w:trPr>
          <w:cantSplit/>
        </w:trPr>
        <w:tc>
          <w:tcPr>
            <w:tcW w:w="2200" w:type="dxa"/>
          </w:tcPr>
          <w:p w14:paraId="48BCB95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FAIR</w:t>
            </w:r>
          </w:p>
        </w:tc>
        <w:tc>
          <w:tcPr>
            <w:tcW w:w="7400" w:type="dxa"/>
          </w:tcPr>
          <w:p w14:paraId="0B1EAAF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Findable, accessible, interoperable, reusable</w:t>
            </w:r>
          </w:p>
        </w:tc>
      </w:tr>
      <w:tr w:rsidR="00421570" w:rsidRPr="0017344A" w14:paraId="5AE003AA" w14:textId="77777777">
        <w:trPr>
          <w:cantSplit/>
        </w:trPr>
        <w:tc>
          <w:tcPr>
            <w:tcW w:w="2200" w:type="dxa"/>
          </w:tcPr>
          <w:p w14:paraId="257E962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GDPR</w:t>
            </w:r>
          </w:p>
        </w:tc>
        <w:tc>
          <w:tcPr>
            <w:tcW w:w="7400" w:type="dxa"/>
          </w:tcPr>
          <w:p w14:paraId="04520D9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General Data Protection Regulation (EU) 2016/679</w:t>
            </w:r>
          </w:p>
        </w:tc>
      </w:tr>
      <w:tr w:rsidR="00421570" w:rsidRPr="0017344A" w14:paraId="76927C1A" w14:textId="77777777">
        <w:trPr>
          <w:cantSplit/>
        </w:trPr>
        <w:tc>
          <w:tcPr>
            <w:tcW w:w="2200" w:type="dxa"/>
          </w:tcPr>
          <w:p w14:paraId="5EF9783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ICM</w:t>
            </w:r>
          </w:p>
        </w:tc>
        <w:tc>
          <w:tcPr>
            <w:tcW w:w="7400" w:type="dxa"/>
          </w:tcPr>
          <w:p w14:paraId="238669B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Inner cell mass</w:t>
            </w:r>
          </w:p>
        </w:tc>
      </w:tr>
      <w:tr w:rsidR="00421570" w:rsidRPr="0017344A" w14:paraId="3A435170" w14:textId="77777777">
        <w:trPr>
          <w:cantSplit/>
        </w:trPr>
        <w:tc>
          <w:tcPr>
            <w:tcW w:w="2200" w:type="dxa"/>
          </w:tcPr>
          <w:p w14:paraId="6CAFDD7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INFS</w:t>
            </w:r>
          </w:p>
        </w:tc>
        <w:tc>
          <w:tcPr>
            <w:tcW w:w="7400" w:type="dxa"/>
          </w:tcPr>
          <w:p w14:paraId="31D101E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Infersence</w:t>
            </w:r>
          </w:p>
        </w:tc>
      </w:tr>
      <w:tr w:rsidR="00421570" w:rsidRPr="0017344A" w14:paraId="13A244CC" w14:textId="77777777">
        <w:trPr>
          <w:cantSplit/>
        </w:trPr>
        <w:tc>
          <w:tcPr>
            <w:tcW w:w="2200" w:type="dxa"/>
          </w:tcPr>
          <w:p w14:paraId="439810F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IVDR</w:t>
            </w:r>
          </w:p>
        </w:tc>
        <w:tc>
          <w:tcPr>
            <w:tcW w:w="7400" w:type="dxa"/>
          </w:tcPr>
          <w:p w14:paraId="3BCF1D4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 Vitro Diagnostic Medical Devices Regulation (EU) 2017/746</w:t>
            </w:r>
          </w:p>
        </w:tc>
      </w:tr>
      <w:tr w:rsidR="00421570" w:rsidRPr="0017344A" w14:paraId="50E27035" w14:textId="77777777">
        <w:trPr>
          <w:cantSplit/>
        </w:trPr>
        <w:tc>
          <w:tcPr>
            <w:tcW w:w="2200" w:type="dxa"/>
          </w:tcPr>
          <w:p w14:paraId="5335F51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IVF</w:t>
            </w:r>
          </w:p>
        </w:tc>
        <w:tc>
          <w:tcPr>
            <w:tcW w:w="7400" w:type="dxa"/>
          </w:tcPr>
          <w:p w14:paraId="580848E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 vitro fertilisation</w:t>
            </w:r>
          </w:p>
        </w:tc>
      </w:tr>
      <w:tr w:rsidR="00421570" w:rsidRPr="0017344A" w14:paraId="4B9A7E7C" w14:textId="77777777">
        <w:trPr>
          <w:cantSplit/>
        </w:trPr>
        <w:tc>
          <w:tcPr>
            <w:tcW w:w="2200" w:type="dxa"/>
          </w:tcPr>
          <w:p w14:paraId="19F77F5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MAR</w:t>
            </w:r>
          </w:p>
        </w:tc>
        <w:tc>
          <w:tcPr>
            <w:tcW w:w="7400" w:type="dxa"/>
          </w:tcPr>
          <w:p w14:paraId="46DDF20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Medically assisted reproduction</w:t>
            </w:r>
          </w:p>
        </w:tc>
      </w:tr>
      <w:tr w:rsidR="00421570" w:rsidRPr="0017344A" w14:paraId="06F36FE5" w14:textId="77777777">
        <w:trPr>
          <w:cantSplit/>
        </w:trPr>
        <w:tc>
          <w:tcPr>
            <w:tcW w:w="2200" w:type="dxa"/>
          </w:tcPr>
          <w:p w14:paraId="00F33EA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MDR</w:t>
            </w:r>
          </w:p>
        </w:tc>
        <w:tc>
          <w:tcPr>
            <w:tcW w:w="7400" w:type="dxa"/>
          </w:tcPr>
          <w:p w14:paraId="0EB6695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Medical Devices Regulation (EU) 2017/745</w:t>
            </w:r>
          </w:p>
        </w:tc>
      </w:tr>
      <w:tr w:rsidR="00421570" w:rsidRPr="0017344A" w14:paraId="51CB173F" w14:textId="77777777">
        <w:trPr>
          <w:cantSplit/>
        </w:trPr>
        <w:tc>
          <w:tcPr>
            <w:tcW w:w="2200" w:type="dxa"/>
          </w:tcPr>
          <w:p w14:paraId="441861E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NIPT</w:t>
            </w:r>
          </w:p>
        </w:tc>
        <w:tc>
          <w:tcPr>
            <w:tcW w:w="7400" w:type="dxa"/>
          </w:tcPr>
          <w:p w14:paraId="76706B2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Non-invasive prenatal testing</w:t>
            </w:r>
          </w:p>
        </w:tc>
      </w:tr>
      <w:tr w:rsidR="00421570" w:rsidRPr="0017344A" w14:paraId="023A5B14" w14:textId="77777777">
        <w:trPr>
          <w:cantSplit/>
        </w:trPr>
        <w:tc>
          <w:tcPr>
            <w:tcW w:w="2200" w:type="dxa"/>
          </w:tcPr>
          <w:p w14:paraId="7747BDB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NTUA</w:t>
            </w:r>
          </w:p>
        </w:tc>
        <w:tc>
          <w:tcPr>
            <w:tcW w:w="7400" w:type="dxa"/>
          </w:tcPr>
          <w:p w14:paraId="164578D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National Technical University of Athens</w:t>
            </w:r>
          </w:p>
        </w:tc>
      </w:tr>
      <w:tr w:rsidR="00421570" w:rsidRPr="0017344A" w14:paraId="4D3D53AB" w14:textId="77777777">
        <w:trPr>
          <w:cantSplit/>
        </w:trPr>
        <w:tc>
          <w:tcPr>
            <w:tcW w:w="2200" w:type="dxa"/>
          </w:tcPr>
          <w:p w14:paraId="13C4C8D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PGT</w:t>
            </w:r>
          </w:p>
        </w:tc>
        <w:tc>
          <w:tcPr>
            <w:tcW w:w="7400" w:type="dxa"/>
          </w:tcPr>
          <w:p w14:paraId="7F5A7B6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Preimplantation genetic testing</w:t>
            </w:r>
          </w:p>
        </w:tc>
      </w:tr>
      <w:tr w:rsidR="00421570" w:rsidRPr="0017344A" w14:paraId="56AC4627" w14:textId="77777777">
        <w:trPr>
          <w:cantSplit/>
        </w:trPr>
        <w:tc>
          <w:tcPr>
            <w:tcW w:w="2200" w:type="dxa"/>
          </w:tcPr>
          <w:p w14:paraId="44BFAFF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QMS</w:t>
            </w:r>
          </w:p>
        </w:tc>
        <w:tc>
          <w:tcPr>
            <w:tcW w:w="7400" w:type="dxa"/>
          </w:tcPr>
          <w:p w14:paraId="08CDB52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 management system</w:t>
            </w:r>
          </w:p>
        </w:tc>
      </w:tr>
      <w:tr w:rsidR="00421570" w:rsidRPr="0017344A" w14:paraId="2A10E609" w14:textId="77777777">
        <w:trPr>
          <w:cantSplit/>
        </w:trPr>
        <w:tc>
          <w:tcPr>
            <w:tcW w:w="2200" w:type="dxa"/>
          </w:tcPr>
          <w:p w14:paraId="2A0C38F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SME</w:t>
            </w:r>
          </w:p>
        </w:tc>
        <w:tc>
          <w:tcPr>
            <w:tcW w:w="7400" w:type="dxa"/>
          </w:tcPr>
          <w:p w14:paraId="31F1F35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Small and medium-sized enterprise</w:t>
            </w:r>
          </w:p>
        </w:tc>
      </w:tr>
      <w:tr w:rsidR="00421570" w:rsidRPr="0017344A" w14:paraId="227816B4" w14:textId="77777777">
        <w:trPr>
          <w:cantSplit/>
        </w:trPr>
        <w:tc>
          <w:tcPr>
            <w:tcW w:w="2200" w:type="dxa"/>
          </w:tcPr>
          <w:p w14:paraId="6555BF2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SOP</w:t>
            </w:r>
          </w:p>
        </w:tc>
        <w:tc>
          <w:tcPr>
            <w:tcW w:w="7400" w:type="dxa"/>
          </w:tcPr>
          <w:p w14:paraId="2593643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Standard operating procedure</w:t>
            </w:r>
          </w:p>
        </w:tc>
      </w:tr>
      <w:tr w:rsidR="00421570" w:rsidRPr="0017344A" w14:paraId="2A358070" w14:textId="77777777">
        <w:trPr>
          <w:cantSplit/>
        </w:trPr>
        <w:tc>
          <w:tcPr>
            <w:tcW w:w="2200" w:type="dxa"/>
          </w:tcPr>
          <w:p w14:paraId="740BBBD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SoHO</w:t>
            </w:r>
          </w:p>
        </w:tc>
        <w:tc>
          <w:tcPr>
            <w:tcW w:w="7400" w:type="dxa"/>
          </w:tcPr>
          <w:p w14:paraId="01335AF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Substances of human origin</w:t>
            </w:r>
          </w:p>
        </w:tc>
      </w:tr>
      <w:tr w:rsidR="00421570" w:rsidRPr="0017344A" w14:paraId="163B0CAF" w14:textId="77777777">
        <w:trPr>
          <w:cantSplit/>
        </w:trPr>
        <w:tc>
          <w:tcPr>
            <w:tcW w:w="2200" w:type="dxa"/>
          </w:tcPr>
          <w:p w14:paraId="618CFFD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SR</w:t>
            </w:r>
          </w:p>
        </w:tc>
        <w:tc>
          <w:tcPr>
            <w:tcW w:w="7400" w:type="dxa"/>
          </w:tcPr>
          <w:p w14:paraId="793F8E1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Seconded researcher</w:t>
            </w:r>
          </w:p>
        </w:tc>
      </w:tr>
      <w:tr w:rsidR="00421570" w:rsidRPr="0017344A" w14:paraId="37D32D7A" w14:textId="77777777">
        <w:trPr>
          <w:cantSplit/>
        </w:trPr>
        <w:tc>
          <w:tcPr>
            <w:tcW w:w="2200" w:type="dxa"/>
          </w:tcPr>
          <w:p w14:paraId="726240A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TE</w:t>
            </w:r>
          </w:p>
        </w:tc>
        <w:tc>
          <w:tcPr>
            <w:tcW w:w="7400" w:type="dxa"/>
          </w:tcPr>
          <w:p w14:paraId="3E5757E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Trophectoderm</w:t>
            </w:r>
          </w:p>
        </w:tc>
      </w:tr>
      <w:tr w:rsidR="00421570" w:rsidRPr="0017344A" w14:paraId="3DB07CED" w14:textId="77777777">
        <w:trPr>
          <w:cantSplit/>
        </w:trPr>
        <w:tc>
          <w:tcPr>
            <w:tcW w:w="2200" w:type="dxa"/>
          </w:tcPr>
          <w:p w14:paraId="3B8479E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TLM</w:t>
            </w:r>
          </w:p>
        </w:tc>
        <w:tc>
          <w:tcPr>
            <w:tcW w:w="7400" w:type="dxa"/>
          </w:tcPr>
          <w:p w14:paraId="6444C7C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Time-lapse microscopy</w:t>
            </w:r>
          </w:p>
        </w:tc>
      </w:tr>
      <w:tr w:rsidR="00421570" w:rsidRPr="0017344A" w14:paraId="1187A48E" w14:textId="77777777">
        <w:trPr>
          <w:cantSplit/>
        </w:trPr>
        <w:tc>
          <w:tcPr>
            <w:tcW w:w="2200" w:type="dxa"/>
          </w:tcPr>
          <w:p w14:paraId="36B557F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UM</w:t>
            </w:r>
          </w:p>
        </w:tc>
        <w:tc>
          <w:tcPr>
            <w:tcW w:w="7400" w:type="dxa"/>
          </w:tcPr>
          <w:p w14:paraId="65FC0CE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Maastricht University</w:t>
            </w:r>
          </w:p>
        </w:tc>
      </w:tr>
      <w:tr w:rsidR="00421570" w:rsidRPr="0017344A" w14:paraId="4E5C8EA5" w14:textId="77777777">
        <w:trPr>
          <w:cantSplit/>
        </w:trPr>
        <w:tc>
          <w:tcPr>
            <w:tcW w:w="2200" w:type="dxa"/>
          </w:tcPr>
          <w:p w14:paraId="1BC09CA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UT</w:t>
            </w:r>
          </w:p>
        </w:tc>
        <w:tc>
          <w:tcPr>
            <w:tcW w:w="7400" w:type="dxa"/>
          </w:tcPr>
          <w:p w14:paraId="4745731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University of Tartu</w:t>
            </w:r>
          </w:p>
        </w:tc>
      </w:tr>
      <w:tr w:rsidR="00421570" w:rsidRPr="0017344A" w14:paraId="74DD74E1" w14:textId="77777777">
        <w:trPr>
          <w:cantSplit/>
        </w:trPr>
        <w:tc>
          <w:tcPr>
            <w:tcW w:w="2200" w:type="dxa"/>
          </w:tcPr>
          <w:p w14:paraId="4FD93B9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WP</w:t>
            </w:r>
          </w:p>
        </w:tc>
        <w:tc>
          <w:tcPr>
            <w:tcW w:w="7400" w:type="dxa"/>
          </w:tcPr>
          <w:p w14:paraId="5BD0D08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Work package</w:t>
            </w:r>
          </w:p>
        </w:tc>
      </w:tr>
      <w:tr w:rsidR="00421570" w:rsidRPr="0017344A" w14:paraId="411E76B6" w14:textId="77777777">
        <w:trPr>
          <w:cantSplit/>
        </w:trPr>
        <w:tc>
          <w:tcPr>
            <w:tcW w:w="2200" w:type="dxa"/>
          </w:tcPr>
          <w:p w14:paraId="6ED9DCC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ZP</w:t>
            </w:r>
          </w:p>
        </w:tc>
        <w:tc>
          <w:tcPr>
            <w:tcW w:w="7400" w:type="dxa"/>
          </w:tcPr>
          <w:p w14:paraId="36F71CF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Zona pellucida</w:t>
            </w:r>
          </w:p>
        </w:tc>
      </w:tr>
    </w:tbl>
    <w:p w14:paraId="48BCF530" w14:textId="77777777" w:rsidR="00421570" w:rsidRPr="0017344A" w:rsidRDefault="00000000">
      <w:pPr>
        <w:pStyle w:val="Heading1"/>
        <w:pageBreakBefore/>
        <w:rPr>
          <w:rFonts w:ascii="Arial" w:hAnsi="Arial" w:cs="Arial"/>
        </w:rPr>
      </w:pPr>
      <w:bookmarkStart w:id="2" w:name="_Toc241574640"/>
      <w:r w:rsidRPr="0017344A">
        <w:rPr>
          <w:rFonts w:ascii="Arial" w:hAnsi="Arial" w:cs="Arial"/>
        </w:rPr>
        <w:lastRenderedPageBreak/>
        <w:t>1. Introduction</w:t>
      </w:r>
      <w:bookmarkEnd w:id="2"/>
    </w:p>
    <w:p w14:paraId="141720CF" w14:textId="77777777" w:rsidR="00421570" w:rsidRPr="0017344A" w:rsidRDefault="00000000">
      <w:pPr>
        <w:pStyle w:val="Heading2"/>
        <w:rPr>
          <w:rFonts w:ascii="Arial" w:hAnsi="Arial" w:cs="Arial"/>
        </w:rPr>
      </w:pPr>
      <w:bookmarkStart w:id="3" w:name="_Toc241574641"/>
      <w:r w:rsidRPr="0017344A">
        <w:rPr>
          <w:rFonts w:ascii="Arial" w:hAnsi="Arial" w:cs="Arial"/>
        </w:rPr>
        <w:t>1.1 Purpose</w:t>
      </w:r>
      <w:bookmarkEnd w:id="3"/>
    </w:p>
    <w:p w14:paraId="56526E07" w14:textId="77777777" w:rsidR="00421570" w:rsidRPr="0017344A" w:rsidRDefault="00000000">
      <w:pPr>
        <w:rPr>
          <w:rFonts w:ascii="Arial" w:hAnsi="Arial" w:cs="Arial"/>
        </w:rPr>
      </w:pPr>
      <w:r w:rsidRPr="0017344A">
        <w:rPr>
          <w:rFonts w:ascii="Arial" w:hAnsi="Arial" w:cs="Arial"/>
        </w:rPr>
        <w:t>These guidelines draw on NESTOR research experience to support the evaluation of data-driven methods and their translation into clinical practice. They describe how to organise an analysis, review its outputs and document the evidence needed to assess its intended use. They also explain the legal and regulatory conditions under which that evidence is generated and used, and how practices can be harmonised so that evidence from different sites and sectors can be combined and compared.</w:t>
      </w:r>
    </w:p>
    <w:p w14:paraId="3353F1AA" w14:textId="77777777" w:rsidR="00421570" w:rsidRDefault="00000000">
      <w:pPr>
        <w:rPr>
          <w:rFonts w:ascii="Arial" w:hAnsi="Arial" w:cs="Arial"/>
        </w:rPr>
      </w:pPr>
      <w:r w:rsidRPr="0017344A">
        <w:rPr>
          <w:rFonts w:ascii="Arial" w:hAnsi="Arial" w:cs="Arial"/>
          <w:b/>
        </w:rPr>
        <w:t>Deliverable D3.3</w:t>
      </w:r>
      <w:r w:rsidRPr="0017344A">
        <w:rPr>
          <w:rFonts w:ascii="Arial" w:hAnsi="Arial" w:cs="Arial"/>
        </w:rPr>
        <w:t xml:space="preserve"> forms part of WP3, “Intersectoral mobility for R&amp;I translation towards ethically responsible innovations”, and Task T3.1 of the </w:t>
      </w:r>
      <w:hyperlink r:id="rId10">
        <w:r w:rsidR="00421570" w:rsidRPr="0017344A">
          <w:rPr>
            <w:rFonts w:ascii="Arial" w:hAnsi="Arial" w:cs="Arial"/>
            <w:color w:val="503078"/>
            <w:u w:val="single"/>
          </w:rPr>
          <w:t>NESTOR project</w:t>
        </w:r>
      </w:hyperlink>
      <w:r w:rsidRPr="0017344A">
        <w:rPr>
          <w:rFonts w:ascii="Arial" w:hAnsi="Arial" w:cs="Arial"/>
        </w:rPr>
        <w:t xml:space="preserve">, with </w:t>
      </w:r>
      <w:r w:rsidRPr="0017344A">
        <w:rPr>
          <w:rFonts w:ascii="Arial" w:hAnsi="Arial" w:cs="Arial"/>
          <w:b/>
        </w:rPr>
        <w:t>UM</w:t>
      </w:r>
      <w:r w:rsidRPr="0017344A">
        <w:rPr>
          <w:rFonts w:ascii="Arial" w:hAnsi="Arial" w:cs="Arial"/>
        </w:rPr>
        <w:t xml:space="preserve"> as the lead beneficiary. Its title is “Protocols and standard operating procedures on practical recommendations covering the data driven innovative method validation into the clinical practice”.</w:t>
      </w:r>
    </w:p>
    <w:p w14:paraId="366AC88C" w14:textId="77777777" w:rsidR="00421570" w:rsidRPr="0017344A" w:rsidRDefault="00000000">
      <w:pPr>
        <w:pStyle w:val="Heading2"/>
        <w:rPr>
          <w:rFonts w:ascii="Arial" w:hAnsi="Arial" w:cs="Arial"/>
        </w:rPr>
      </w:pPr>
      <w:bookmarkStart w:id="4" w:name="_Toc241574642"/>
      <w:r w:rsidRPr="0017344A">
        <w:rPr>
          <w:rFonts w:ascii="Arial" w:hAnsi="Arial" w:cs="Arial"/>
        </w:rPr>
        <w:t>1.2 Relationship to the Description of Action</w:t>
      </w:r>
      <w:bookmarkEnd w:id="4"/>
    </w:p>
    <w:p w14:paraId="399C68C5" w14:textId="77777777" w:rsidR="00421570" w:rsidRPr="0017344A" w:rsidRDefault="00000000">
      <w:pPr>
        <w:rPr>
          <w:rFonts w:ascii="Arial" w:hAnsi="Arial" w:cs="Arial"/>
        </w:rPr>
      </w:pPr>
      <w:r w:rsidRPr="0017344A">
        <w:rPr>
          <w:rFonts w:ascii="Arial" w:hAnsi="Arial" w:cs="Arial"/>
        </w:rPr>
        <w:t xml:space="preserve">Under Task T3.1 (lead: UM; participants: Celvia, AN, INFS), seconded researchers and clinical staff are trained at UM to address the practical challenges of translating research into the clinic. During their return phase, they initiate clinical validation case studies, planning all aspects from sample and patient data collection and computational analysis to reporting method precision. The Description of Action [16] foresees that seconded researchers will publish “open access web-based guidelines offering practical recommendations covering the data driven innovative method validation clinical practice of the NESTOR research sub-fields in the form of protocols and standard operating procedures”. This deliverable, together with the accompanying website, fulfils that commitment.</w:t>
      </w:r>
    </w:p>
    <w:p w14:paraId="406C131A" w14:textId="77777777" w:rsidR="00922B2D" w:rsidRDefault="00000000">
      <w:r>
        <w:rPr>
          <w:rFonts w:ascii="Arial" w:hAnsi="Arial" w:cs="Arial"/>
          <w:b/>
        </w:rPr>
        <w:t>Data foundations from Task T3.4.</w:t>
      </w:r>
      <w:r>
        <w:rPr>
          <w:rFonts w:ascii="Arial" w:hAnsi="Arial" w:cs="Arial"/>
        </w:rPr>
        <w:t xml:space="preserve"> Validation across sites depends on data that are described, consented and shared in compatible ways. Two subtasks of T3.4, both led by UM, lay these foundations [16]. Under ST3.4.1 (metadata and data-sharing consent procedures, M29), seconded researchers from INFS, AN and Celvia receive hands-on training at UM in three areas: implementing data standards and shared metadata descriptions; harmonising data from existing cohorts with data-privacy safeguards; and aligning data-sharing consent terms with the providers’ data licensing and the users’ intended analyses. The last area includes registries for prospective data collection and secure access protocols for genomic, radiology and clinical records.</w:t>
      </w:r>
    </w:p>
    <w:p w14:paraId="0D259581" w14:textId="77777777" w:rsidR="00922B2D" w:rsidRDefault="00000000">
      <w:r>
        <w:rPr>
          <w:rFonts w:ascii="Arial" w:hAnsi="Arial" w:cs="Arial"/>
        </w:rPr>
        <w:t xml:space="preserve">Under ST3.4.2 (interconnected data-sharing platform, M30–35), one seconded researcher from each of the same partners spends three months at UM developing a strategy to interconnect existing data infrastructures, identify barriers to data sharing and model data sharing across the consortium. AN, as the ART service provider, implements the harmonised data collection, covering patient demographics, clinical and genomic data, and TLM images with their annotation, in line with the ST3.4.1 standards. A member of AN staff is trained in data stewardship for this purpose. INFS and Celvia run the exercises that test the interoperability of partner infrastructures, and during the return phase the seconded researchers work on data-management standards. D3.3 builds directly on this work: the metadata, consent and interoperability standards form the data layer on which the harmonised practices in Chapter 4 and the validation workflow in Chapter 5 operate.</w:t>
      </w:r>
    </w:p>
    <w:p w14:paraId="75E52D28" w14:textId="77777777" w:rsidR="00421570" w:rsidRPr="0017344A" w:rsidRDefault="00000000">
      <w:pPr>
        <w:keepNext/>
        <w:rPr>
          <w:rFonts w:ascii="Arial" w:hAnsi="Arial" w:cs="Arial"/>
        </w:rPr>
      </w:pPr>
      <w:r w:rsidRPr="0017344A">
        <w:rPr>
          <w:rFonts w:ascii="Arial" w:hAnsi="Arial" w:cs="Arial"/>
        </w:rPr>
        <w:t>D3.3 also connects to other NESTOR activities, and the guidelines are designed to be used alongside them:</w:t>
      </w:r>
    </w:p>
    <w:p w14:paraId="740259AE" w14:textId="77777777" w:rsidR="00421570" w:rsidRPr="0017344A" w:rsidRDefault="00000000">
      <w:pPr>
        <w:pStyle w:val="ListBullet"/>
        <w:rPr>
          <w:rFonts w:ascii="Arial" w:hAnsi="Arial" w:cs="Arial"/>
        </w:rPr>
      </w:pPr>
      <w:r w:rsidRPr="0017344A">
        <w:rPr>
          <w:rFonts w:ascii="Arial" w:hAnsi="Arial" w:cs="Arial"/>
        </w:rPr>
        <w:t>the protocols for harmonised time-lapse embryo image data collection and the development of an AI approach for image recognition (WP2, ST2.2.3), which provide the data-collection counterpart to the validation workflow described here;</w:t>
      </w:r>
    </w:p>
    <w:p w14:paraId="193755AF" w14:textId="77777777" w:rsidR="00922B2D" w:rsidRDefault="00000000">
      <w:pPr>
        <w:pStyle w:val="ListBullet"/>
      </w:pPr>
      <w:r>
        <w:rPr>
          <w:rFonts w:ascii="Arial" w:hAnsi="Arial" w:cs="Arial"/>
        </w:rPr>
        <w:lastRenderedPageBreak/>
        <w:t>the IVF data sharing framework for algorithm training (WP2) and the T3.4 work on metadata, consent procedures and the interconnected data-sharing platform described above, which together provide the infrastructure for multi-site validation;</w:t>
      </w:r>
    </w:p>
    <w:p w14:paraId="7ADEDC95" w14:textId="77777777" w:rsidR="00421570" w:rsidRPr="0017344A" w:rsidRDefault="00000000">
      <w:pPr>
        <w:pStyle w:val="ListBullet"/>
        <w:rPr>
          <w:rFonts w:ascii="Arial" w:hAnsi="Arial" w:cs="Arial"/>
        </w:rPr>
      </w:pPr>
      <w:r w:rsidRPr="0017344A">
        <w:rPr>
          <w:rFonts w:ascii="Arial" w:hAnsi="Arial" w:cs="Arial"/>
        </w:rPr>
        <w:t>the training on IVDR applications and the SOPs for IVDR and intellectual property prepared by seconded researchers for their institutions (WP4), which address the regulatory and valorisation steps that follow validation;</w:t>
      </w:r>
    </w:p>
    <w:p w14:paraId="52C1414E" w14:textId="77777777" w:rsidR="00421570" w:rsidRPr="0017344A" w:rsidRDefault="00000000">
      <w:pPr>
        <w:pStyle w:val="ListBullet"/>
        <w:rPr>
          <w:rFonts w:ascii="Arial" w:hAnsi="Arial" w:cs="Arial"/>
        </w:rPr>
      </w:pPr>
      <w:r w:rsidRPr="0017344A">
        <w:rPr>
          <w:rFonts w:ascii="Arial" w:hAnsi="Arial" w:cs="Arial"/>
        </w:rPr>
        <w:t>the ethics, data and intellectual property management plans (WP6), which set the project-level rules within which all validation work is carried out.</w:t>
      </w:r>
    </w:p>
    <w:p w14:paraId="5AF32CDE" w14:textId="77777777" w:rsidR="00421570" w:rsidRPr="0017344A" w:rsidRDefault="00000000">
      <w:pPr>
        <w:pStyle w:val="Heading2"/>
        <w:rPr>
          <w:rFonts w:ascii="Arial" w:hAnsi="Arial" w:cs="Arial"/>
        </w:rPr>
      </w:pPr>
      <w:bookmarkStart w:id="5" w:name="_Toc241574643"/>
      <w:r w:rsidRPr="0017344A">
        <w:rPr>
          <w:rFonts w:ascii="Arial" w:hAnsi="Arial" w:cs="Arial"/>
        </w:rPr>
        <w:t>1.3 Scope</w:t>
      </w:r>
      <w:bookmarkEnd w:id="5"/>
    </w:p>
    <w:p w14:paraId="3E0D3131" w14:textId="77777777" w:rsidR="00421570" w:rsidRPr="0017344A" w:rsidRDefault="00000000">
      <w:pPr>
        <w:rPr>
          <w:rFonts w:ascii="Arial" w:hAnsi="Arial" w:cs="Arial"/>
        </w:rPr>
      </w:pPr>
      <w:r w:rsidRPr="0017344A">
        <w:rPr>
          <w:rFonts w:ascii="Arial" w:hAnsi="Arial" w:cs="Arial"/>
        </w:rPr>
        <w:t>NESTOR brings together researchers in personalised reproductive medicine, assisted reproductive technologies (ART), non-invasive prenatal testing, uterine health and AI-based solutions for ART.</w:t>
      </w:r>
    </w:p>
    <w:p w14:paraId="1B24F7E6" w14:textId="77777777" w:rsidR="00421570" w:rsidRPr="0017344A" w:rsidRDefault="00000000">
      <w:pPr>
        <w:rPr>
          <w:rFonts w:ascii="Arial" w:hAnsi="Arial" w:cs="Arial"/>
        </w:rPr>
      </w:pPr>
      <w:r w:rsidRPr="0017344A">
        <w:rPr>
          <w:rFonts w:ascii="Arial" w:hAnsi="Arial" w:cs="Arial"/>
        </w:rPr>
        <w:t xml:space="preserve">The general workflow, the legal and regulatory framework and the harmonisation principles in this document apply to data-driven methods across these research sub-fields. The worked example focuses on embryo image analysis within the ART and AI research area. The </w:t>
      </w:r>
      <w:hyperlink r:id="rId11">
        <w:r w:rsidR="00421570" w:rsidRPr="0017344A">
          <w:rPr>
            <w:rFonts w:ascii="Arial" w:hAnsi="Arial" w:cs="Arial"/>
            <w:color w:val="503078"/>
            <w:u w:val="single"/>
          </w:rPr>
          <w:t>practical workflow</w:t>
        </w:r>
      </w:hyperlink>
      <w:r w:rsidRPr="0017344A">
        <w:rPr>
          <w:rFonts w:ascii="Arial" w:hAnsi="Arial" w:cs="Arial"/>
        </w:rPr>
        <w:t xml:space="preserve"> sets out the analysis and quality-review steps, while the </w:t>
      </w:r>
      <w:hyperlink r:id="rId12">
        <w:r w:rsidR="00421570" w:rsidRPr="0017344A">
          <w:rPr>
            <w:rFonts w:ascii="Arial" w:hAnsi="Arial" w:cs="Arial"/>
            <w:color w:val="503078"/>
            <w:u w:val="single"/>
          </w:rPr>
          <w:t>embryo image-analysis example</w:t>
        </w:r>
      </w:hyperlink>
      <w:r w:rsidRPr="0017344A">
        <w:rPr>
          <w:rFonts w:ascii="Arial" w:hAnsi="Arial" w:cs="Arial"/>
        </w:rPr>
        <w:t xml:space="preserve"> shows how these steps were applied to study embryo development and hatching. Where requirements differ for genomic methods, such as tests that fall under the IVDR rather than the MDR, this is noted in the text.</w:t>
      </w:r>
    </w:p>
    <w:p w14:paraId="7446F6E3" w14:textId="77777777" w:rsidR="00421570" w:rsidRPr="0017344A" w:rsidRDefault="00000000">
      <w:pPr>
        <w:pStyle w:val="Heading2"/>
        <w:rPr>
          <w:rFonts w:ascii="Arial" w:hAnsi="Arial" w:cs="Arial"/>
        </w:rPr>
      </w:pPr>
      <w:bookmarkStart w:id="6" w:name="_Toc241574644"/>
      <w:r w:rsidRPr="0017344A">
        <w:rPr>
          <w:rFonts w:ascii="Arial" w:hAnsi="Arial" w:cs="Arial"/>
        </w:rPr>
        <w:t>1.4 Project context</w:t>
      </w:r>
      <w:bookmarkEnd w:id="6"/>
    </w:p>
    <w:p w14:paraId="617A557A" w14:textId="77777777" w:rsidR="00421570" w:rsidRPr="0017344A" w:rsidRDefault="00000000">
      <w:pPr>
        <w:rPr>
          <w:rFonts w:ascii="Arial" w:hAnsi="Arial" w:cs="Arial"/>
        </w:rPr>
      </w:pPr>
      <w:r w:rsidRPr="0017344A">
        <w:rPr>
          <w:rFonts w:ascii="Arial" w:hAnsi="Arial" w:cs="Arial"/>
        </w:rPr>
        <w:t>These guidelines contribute to NESTOR T3.1, which addresses the translation of research experience into open-access protocols and standard operating procedures.</w:t>
      </w:r>
    </w:p>
    <w:p w14:paraId="2D2E22A1" w14:textId="77777777" w:rsidR="00421570" w:rsidRPr="0017344A" w:rsidRDefault="00000000">
      <w:pPr>
        <w:rPr>
          <w:rFonts w:ascii="Arial" w:hAnsi="Arial" w:cs="Arial"/>
        </w:rPr>
      </w:pPr>
      <w:r w:rsidRPr="0017344A">
        <w:rPr>
          <w:rFonts w:ascii="Arial" w:hAnsi="Arial" w:cs="Arial"/>
        </w:rPr>
        <w:t xml:space="preserve">The embryo-analysis work presented in these guidelines was carried out through a collaboration between members of INFS and UM at MUMC+.</w:t>
      </w:r>
    </w:p>
    <w:p w14:paraId="5DF3573F" w14:textId="77777777" w:rsidR="00421570" w:rsidRPr="0017344A" w:rsidRDefault="00000000">
      <w:pPr>
        <w:pStyle w:val="Heading2"/>
        <w:rPr>
          <w:rFonts w:ascii="Arial" w:hAnsi="Arial" w:cs="Arial"/>
        </w:rPr>
      </w:pPr>
      <w:bookmarkStart w:id="7" w:name="_Toc241574645"/>
      <w:r w:rsidRPr="0017344A">
        <w:rPr>
          <w:rFonts w:ascii="Arial" w:hAnsi="Arial" w:cs="Arial"/>
        </w:rPr>
        <w:t>1.5 Structure of the document</w:t>
      </w:r>
      <w:bookmarkEnd w:id="7"/>
    </w:p>
    <w:p w14:paraId="5B670724" w14:textId="77777777" w:rsidR="00922B2D" w:rsidRDefault="00000000">
      <w:r>
        <w:rPr>
          <w:rFonts w:ascii="Arial" w:hAnsi="Arial" w:cs="Arial"/>
        </w:rPr>
        <w:t>Chapter 2 explains why validation is central to cross-border and cross-sectoral translation and introduces the stages from research to clinical use. Chapter 3 sets out the legal, regulatory and ethical framework. Chapter 4 describes how practices can be harmonised across sites and sectors. Chapter 5 presents the five-stage practical workflow, and Chapter 6 applies it to the NESTOR embryo image-analysis study. Chapter 7 describes the open-access web guidelines. Chapter 8 discusses the limitations of the current work and how they can be addressed, Chapter 9 summarises conclusions and next steps, and Chapter 10 sets out the legacy plans, including the follow-on project NEO-LIFE. Annex A provides a validation checklist.</w:t>
      </w:r>
    </w:p>
    <w:p w14:paraId="1A89E891" w14:textId="77777777" w:rsidR="00421570" w:rsidRPr="0017344A" w:rsidRDefault="00000000">
      <w:pPr>
        <w:pStyle w:val="Heading1"/>
        <w:rPr>
          <w:rFonts w:ascii="Arial" w:hAnsi="Arial" w:cs="Arial"/>
        </w:rPr>
      </w:pPr>
      <w:bookmarkStart w:id="8" w:name="_Toc241574646"/>
      <w:r w:rsidRPr="0017344A">
        <w:rPr>
          <w:rFonts w:ascii="Arial" w:hAnsi="Arial" w:cs="Arial"/>
        </w:rPr>
        <w:t>2. Validation in a cross-border and cross-sectoral context</w:t>
      </w:r>
      <w:bookmarkEnd w:id="8"/>
    </w:p>
    <w:p w14:paraId="37ABB926" w14:textId="77777777" w:rsidR="00421570" w:rsidRPr="0017344A" w:rsidRDefault="00000000">
      <w:pPr>
        <w:pStyle w:val="Heading2"/>
        <w:rPr>
          <w:rFonts w:ascii="Arial" w:hAnsi="Arial" w:cs="Arial"/>
        </w:rPr>
      </w:pPr>
      <w:bookmarkStart w:id="9" w:name="_Toc241574647"/>
      <w:r w:rsidRPr="0017344A">
        <w:rPr>
          <w:rFonts w:ascii="Arial" w:hAnsi="Arial" w:cs="Arial"/>
        </w:rPr>
        <w:t>2.1 The translation gap in reproductive medicine</w:t>
      </w:r>
      <w:bookmarkEnd w:id="9"/>
    </w:p>
    <w:p w14:paraId="51EAC2AA" w14:textId="77777777" w:rsidR="00922B2D" w:rsidRDefault="00000000">
      <w:r>
        <w:rPr>
          <w:rFonts w:ascii="Arial" w:hAnsi="Arial" w:cs="Arial"/>
        </w:rPr>
        <w:t xml:space="preserve">Assisted reproduction is a field of rapid technological change and modest success rates. For many patients, particularly those of advanced reproductive age, each treatment cycle carries a substantial emotional, physical and financial cost. New methods for assessing embryos, predicting endometrial receptivity or estimating reproductive ageing therefore attract strong interest from clinics and patients alike. A major challenge is that several techniques offered as IVF “add-ons” have entered routine practice before robust evidence of benefit was available. Patients are often not clearly told how limited that evidence is, and the data on clinical outcomes do not support their routine use [2]. In its good practice recommendations on add-ons, ESHRE does not recommend time-lapse imaging for routine use to </w:t>
      </w:r>
      <w:r>
        <w:rPr>
          <w:rFonts w:ascii="Arial" w:hAnsi="Arial" w:cs="Arial"/>
        </w:rPr>
        <w:lastRenderedPageBreak/>
        <w:t>improve outcomes, because the available evidence does not show an improvement over conventional morphological assessment [3]. This is a reminder that technical sophistication does not by itself establish clinical value.</w:t>
      </w:r>
    </w:p>
    <w:p w14:paraId="363AE81F" w14:textId="77777777" w:rsidR="00421570" w:rsidRPr="0017344A" w:rsidRDefault="00000000">
      <w:pPr>
        <w:rPr>
          <w:rFonts w:ascii="Arial" w:hAnsi="Arial" w:cs="Arial"/>
        </w:rPr>
      </w:pPr>
      <w:r w:rsidRPr="0017344A">
        <w:rPr>
          <w:rFonts w:ascii="Arial" w:hAnsi="Arial" w:cs="Arial"/>
        </w:rPr>
        <w:t>Rigorous validation is how the field avoids both errors: adopting methods that do not help patients, and discarding methods that could. For NESTOR, validation is also the point where the project’s two defining features, cross-border mobility and academia–industry cooperation, become most concrete.</w:t>
      </w:r>
    </w:p>
    <w:p w14:paraId="0CE7CA7A" w14:textId="77777777" w:rsidR="00421570" w:rsidRPr="0017344A" w:rsidRDefault="00000000">
      <w:pPr>
        <w:pStyle w:val="Heading2"/>
        <w:rPr>
          <w:rFonts w:ascii="Arial" w:hAnsi="Arial" w:cs="Arial"/>
        </w:rPr>
      </w:pPr>
      <w:bookmarkStart w:id="10" w:name="_Toc241574648"/>
      <w:r w:rsidRPr="0017344A">
        <w:rPr>
          <w:rFonts w:ascii="Arial" w:hAnsi="Arial" w:cs="Arial"/>
        </w:rPr>
        <w:t>2.2 Why validation must work across borders</w:t>
      </w:r>
      <w:bookmarkEnd w:id="10"/>
    </w:p>
    <w:p w14:paraId="334F5C4C" w14:textId="77777777" w:rsidR="00421570" w:rsidRPr="0017344A" w:rsidRDefault="00000000">
      <w:pPr>
        <w:keepNext/>
        <w:rPr>
          <w:rFonts w:ascii="Arial" w:hAnsi="Arial" w:cs="Arial"/>
        </w:rPr>
      </w:pPr>
      <w:r w:rsidRPr="0017344A">
        <w:rPr>
          <w:rFonts w:ascii="Arial" w:hAnsi="Arial" w:cs="Arial"/>
        </w:rPr>
        <w:t xml:space="preserve">The NESTOR consortium spans three health systems. A method developed and evaluated at MUMC+ will only be useful to a clinic in Thessaloniki or Tartu if there is evidence that it performs acceptably there. Differences between sites can affect performance in ways that are not visible in a single-site study:</w:t>
      </w:r>
    </w:p>
    <w:p w14:paraId="0694AF5F" w14:textId="77777777" w:rsidR="00421570" w:rsidRPr="0017344A" w:rsidRDefault="00000000">
      <w:pPr>
        <w:pStyle w:val="ListBullet"/>
        <w:rPr>
          <w:rFonts w:ascii="Arial" w:hAnsi="Arial" w:cs="Arial"/>
        </w:rPr>
      </w:pPr>
      <w:r w:rsidRPr="0017344A">
        <w:rPr>
          <w:rFonts w:ascii="Arial" w:hAnsi="Arial" w:cs="Arial"/>
          <w:b/>
        </w:rPr>
        <w:t>Technical differences:</w:t>
      </w:r>
      <w:r w:rsidRPr="0017344A">
        <w:rPr>
          <w:rFonts w:ascii="Arial" w:hAnsi="Arial" w:cs="Arial"/>
        </w:rPr>
        <w:t xml:space="preserve"> time-lapse platforms, imaging intervals, focal planes, optics and image formats.</w:t>
      </w:r>
    </w:p>
    <w:p w14:paraId="1118883C" w14:textId="77777777" w:rsidR="00421570" w:rsidRPr="0017344A" w:rsidRDefault="00000000">
      <w:pPr>
        <w:pStyle w:val="ListBullet"/>
        <w:rPr>
          <w:rFonts w:ascii="Arial" w:hAnsi="Arial" w:cs="Arial"/>
        </w:rPr>
      </w:pPr>
      <w:r w:rsidRPr="0017344A">
        <w:rPr>
          <w:rFonts w:ascii="Arial" w:hAnsi="Arial" w:cs="Arial"/>
          <w:b/>
        </w:rPr>
        <w:t>Laboratory differences:</w:t>
      </w:r>
      <w:r w:rsidRPr="0017344A">
        <w:rPr>
          <w:rFonts w:ascii="Arial" w:hAnsi="Arial" w:cs="Arial"/>
        </w:rPr>
        <w:t xml:space="preserve"> culture media and conditions, fertilisation method, timing conventions and embryo-handling routines.</w:t>
      </w:r>
    </w:p>
    <w:p w14:paraId="752F2C87" w14:textId="77777777" w:rsidR="00421570" w:rsidRPr="0017344A" w:rsidRDefault="00000000">
      <w:pPr>
        <w:pStyle w:val="ListBullet"/>
        <w:rPr>
          <w:rFonts w:ascii="Arial" w:hAnsi="Arial" w:cs="Arial"/>
        </w:rPr>
      </w:pPr>
      <w:r w:rsidRPr="0017344A">
        <w:rPr>
          <w:rFonts w:ascii="Arial" w:hAnsi="Arial" w:cs="Arial"/>
          <w:b/>
        </w:rPr>
        <w:t>Human differences:</w:t>
      </w:r>
      <w:r w:rsidRPr="0017344A">
        <w:rPr>
          <w:rFonts w:ascii="Arial" w:hAnsi="Arial" w:cs="Arial"/>
        </w:rPr>
        <w:t xml:space="preserve"> training and experience of embryologists, annotation habits and the grading systems in use.</w:t>
      </w:r>
    </w:p>
    <w:p w14:paraId="2DCC22DE" w14:textId="77777777" w:rsidR="00421570" w:rsidRPr="0017344A" w:rsidRDefault="00000000">
      <w:pPr>
        <w:pStyle w:val="ListBullet"/>
        <w:rPr>
          <w:rFonts w:ascii="Arial" w:hAnsi="Arial" w:cs="Arial"/>
        </w:rPr>
      </w:pPr>
      <w:r w:rsidRPr="0017344A">
        <w:rPr>
          <w:rFonts w:ascii="Arial" w:hAnsi="Arial" w:cs="Arial"/>
          <w:b/>
        </w:rPr>
        <w:t>Population differences:</w:t>
      </w:r>
      <w:r w:rsidRPr="0017344A">
        <w:rPr>
          <w:rFonts w:ascii="Arial" w:hAnsi="Arial" w:cs="Arial"/>
        </w:rPr>
        <w:t xml:space="preserve"> patient age distribution, indications for treatment and referral patterns.</w:t>
      </w:r>
    </w:p>
    <w:p w14:paraId="0B6260D0" w14:textId="77777777" w:rsidR="00421570" w:rsidRPr="0017344A" w:rsidRDefault="00000000">
      <w:pPr>
        <w:pStyle w:val="ListBullet"/>
        <w:rPr>
          <w:rFonts w:ascii="Arial" w:hAnsi="Arial" w:cs="Arial"/>
        </w:rPr>
      </w:pPr>
      <w:r w:rsidRPr="0017344A">
        <w:rPr>
          <w:rFonts w:ascii="Arial" w:hAnsi="Arial" w:cs="Arial"/>
          <w:b/>
        </w:rPr>
        <w:t>Legal and organisational differences:</w:t>
      </w:r>
      <w:r w:rsidRPr="0017344A">
        <w:rPr>
          <w:rFonts w:ascii="Arial" w:hAnsi="Arial" w:cs="Arial"/>
        </w:rPr>
        <w:t xml:space="preserve"> national rules implementing the GDPR, ethics review procedures, ART legislation and institutional IT policies governing where data may be processed.</w:t>
      </w:r>
    </w:p>
    <w:p w14:paraId="5828CDF3" w14:textId="77777777" w:rsidR="00421570" w:rsidRPr="0017344A" w:rsidRDefault="00000000">
      <w:pPr>
        <w:rPr>
          <w:rFonts w:ascii="Arial" w:hAnsi="Arial" w:cs="Arial"/>
        </w:rPr>
      </w:pPr>
      <w:r w:rsidRPr="0017344A">
        <w:rPr>
          <w:rFonts w:ascii="Arial" w:hAnsi="Arial" w:cs="Arial"/>
        </w:rPr>
        <w:t>Cross-border validation turns these differences from hidden sources of error into documented and testable factors. A shared validation workflow, together with harmonised minimum practices (Chapter 4), allows partners to learn from each other’s data without requiring identical infrastructure.</w:t>
      </w:r>
    </w:p>
    <w:p w14:paraId="3071BA92" w14:textId="77777777" w:rsidR="00421570" w:rsidRPr="0017344A" w:rsidRDefault="00000000">
      <w:pPr>
        <w:pStyle w:val="Heading2"/>
        <w:rPr>
          <w:rFonts w:ascii="Arial" w:hAnsi="Arial" w:cs="Arial"/>
        </w:rPr>
      </w:pPr>
      <w:bookmarkStart w:id="11" w:name="_Toc241574649"/>
      <w:r w:rsidRPr="0017344A">
        <w:rPr>
          <w:rFonts w:ascii="Arial" w:hAnsi="Arial" w:cs="Arial"/>
        </w:rPr>
        <w:t>2.3 Why validation must work across sectors</w:t>
      </w:r>
      <w:bookmarkEnd w:id="11"/>
    </w:p>
    <w:p w14:paraId="160F3DF8" w14:textId="77777777" w:rsidR="00421570" w:rsidRPr="0017344A" w:rsidRDefault="00000000">
      <w:pPr>
        <w:rPr>
          <w:rFonts w:ascii="Arial" w:hAnsi="Arial" w:cs="Arial"/>
        </w:rPr>
      </w:pPr>
      <w:r w:rsidRPr="0017344A">
        <w:rPr>
          <w:rFonts w:ascii="Arial" w:hAnsi="Arial" w:cs="Arial"/>
        </w:rPr>
        <w:t>Translating a data-driven method into care requires contributions that no single type of organisation holds. Table 1 summarises the complementary roles represented in NESTOR.</w:t>
      </w:r>
    </w:p>
    <w:p w14:paraId="61C91F25" w14:textId="77777777" w:rsidR="00421570" w:rsidRPr="0017344A" w:rsidRDefault="00000000">
      <w:pPr>
        <w:pStyle w:val="Caption"/>
        <w:keepNext/>
        <w:spacing w:before="160" w:after="80"/>
        <w:rPr>
          <w:rFonts w:ascii="Arial" w:hAnsi="Arial" w:cs="Arial"/>
        </w:rPr>
      </w:pPr>
      <w:r w:rsidRPr="0017344A">
        <w:rPr>
          <w:rFonts w:ascii="Arial" w:hAnsi="Arial" w:cs="Arial"/>
        </w:rPr>
        <w:t>Table 1. Complementary roles of NESTOR partner types in validation</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300"/>
        <w:gridCol w:w="3900"/>
        <w:gridCol w:w="3400"/>
      </w:tblGrid>
      <w:tr w:rsidR="00421570" w:rsidRPr="0017344A" w14:paraId="206E3ACC" w14:textId="77777777">
        <w:trPr>
          <w:cantSplit/>
          <w:tblHeader/>
        </w:trPr>
        <w:tc>
          <w:tcPr>
            <w:tcW w:w="2300" w:type="dxa"/>
            <w:shd w:val="clear" w:color="auto" w:fill="EEE8F3"/>
          </w:tcPr>
          <w:p w14:paraId="7BBCB64A"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Partner type</w:t>
            </w:r>
          </w:p>
        </w:tc>
        <w:tc>
          <w:tcPr>
            <w:tcW w:w="3900" w:type="dxa"/>
            <w:shd w:val="clear" w:color="auto" w:fill="EEE8F3"/>
          </w:tcPr>
          <w:p w14:paraId="11AA2BA6"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Contribution to validation</w:t>
            </w:r>
          </w:p>
        </w:tc>
        <w:tc>
          <w:tcPr>
            <w:tcW w:w="3400" w:type="dxa"/>
            <w:shd w:val="clear" w:color="auto" w:fill="EEE8F3"/>
          </w:tcPr>
          <w:p w14:paraId="48592F09"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Examples in NESTOR</w:t>
            </w:r>
          </w:p>
        </w:tc>
      </w:tr>
      <w:tr w:rsidR="00421570" w:rsidRPr="0017344A" w14:paraId="0131C6D8" w14:textId="77777777">
        <w:trPr>
          <w:cantSplit/>
        </w:trPr>
        <w:tc>
          <w:tcPr>
            <w:tcW w:w="2300" w:type="dxa"/>
          </w:tcPr>
          <w:p w14:paraId="3FD2655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Universities (UT, AUT, UM, NTUA)</w:t>
            </w:r>
          </w:p>
        </w:tc>
        <w:tc>
          <w:tcPr>
            <w:tcW w:w="3900" w:type="dxa"/>
          </w:tcPr>
          <w:p w14:paraId="0587CF5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Study design, statistics and computational methods; research ethics expertise; access to academic clinical research environments.</w:t>
            </w:r>
          </w:p>
        </w:tc>
        <w:tc>
          <w:tcPr>
            <w:tcW w:w="3400" w:type="dxa"/>
          </w:tcPr>
          <w:p w14:paraId="462B2B8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 xml:space="preserve">UM hosting the embryo-analysis work at MUMC+; training of seconded researchers under T3.1.</w:t>
            </w:r>
          </w:p>
        </w:tc>
      </w:tr>
      <w:tr w:rsidR="00421570" w:rsidRPr="0017344A" w14:paraId="45379CA5" w14:textId="77777777">
        <w:trPr>
          <w:cantSplit/>
        </w:trPr>
        <w:tc>
          <w:tcPr>
            <w:tcW w:w="2300" w:type="dxa"/>
          </w:tcPr>
          <w:p w14:paraId="6DA5F60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IVF clinics (AN</w:t>
            </w:r>
            <w:r w:rsidR="007D3079">
              <w:rPr>
                <w:rFonts w:ascii="Arial" w:hAnsi="Arial" w:cs="Arial"/>
                <w:sz w:val="18"/>
                <w:szCs w:val="18"/>
              </w:rPr>
              <w:t>,</w:t>
            </w:r>
            <w:r w:rsidRPr="0017344A">
              <w:rPr>
                <w:rFonts w:ascii="Arial" w:hAnsi="Arial" w:cs="Arial"/>
                <w:sz w:val="18"/>
                <w:szCs w:val="18"/>
              </w:rPr>
              <w:t xml:space="preserve"> MUMC+)</w:t>
            </w:r>
          </w:p>
        </w:tc>
        <w:tc>
          <w:tcPr>
            <w:tcW w:w="3900" w:type="dxa"/>
          </w:tcPr>
          <w:p w14:paraId="12DD49A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Patient data and images; clinical annotation and judgement; knowledge of the clinical workflow; end users of validated methods.</w:t>
            </w:r>
          </w:p>
        </w:tc>
        <w:tc>
          <w:tcPr>
            <w:tcW w:w="3400" w:type="dxa"/>
          </w:tcPr>
          <w:p w14:paraId="4E5F9DD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AN implementing harmonised data collection, including TLM images, under T3.4.</w:t>
            </w:r>
          </w:p>
        </w:tc>
      </w:tr>
      <w:tr w:rsidR="00421570" w:rsidRPr="0017344A" w14:paraId="26F8FB77" w14:textId="77777777">
        <w:trPr>
          <w:cantSplit/>
        </w:trPr>
        <w:tc>
          <w:tcPr>
            <w:tcW w:w="2300" w:type="dxa"/>
          </w:tcPr>
          <w:p w14:paraId="018147B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 xml:space="preserve">Technology SMEs (INFS, </w:t>
            </w:r>
            <w:r w:rsidR="007D3079">
              <w:rPr>
                <w:rFonts w:ascii="Arial" w:hAnsi="Arial" w:cs="Arial"/>
                <w:sz w:val="18"/>
                <w:szCs w:val="18"/>
              </w:rPr>
              <w:t xml:space="preserve">Celvia</w:t>
            </w:r>
            <w:r w:rsidRPr="0017344A">
              <w:rPr>
                <w:rFonts w:ascii="Arial" w:hAnsi="Arial" w:cs="Arial"/>
                <w:sz w:val="18"/>
                <w:szCs w:val="18"/>
              </w:rPr>
              <w:t>)</w:t>
            </w:r>
          </w:p>
        </w:tc>
        <w:tc>
          <w:tcPr>
            <w:tcW w:w="3900" w:type="dxa"/>
          </w:tcPr>
          <w:p w14:paraId="57A95F9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Software engineering and AI development; quality management systems; experience of CE marking and accredited laboratory services.</w:t>
            </w:r>
          </w:p>
        </w:tc>
        <w:tc>
          <w:tcPr>
            <w:tcW w:w="3400" w:type="dxa"/>
          </w:tcPr>
          <w:p w14:paraId="17C6215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 xml:space="preserve">INFS carrying out the embryo image analysis; </w:t>
            </w:r>
            <w:r w:rsidR="007D3079">
              <w:rPr>
                <w:rFonts w:ascii="Arial" w:hAnsi="Arial" w:cs="Arial"/>
                <w:sz w:val="18"/>
                <w:szCs w:val="18"/>
              </w:rPr>
              <w:t xml:space="preserve">Celvia’</w:t>
            </w:r>
            <w:r w:rsidRPr="0017344A">
              <w:rPr>
                <w:rFonts w:ascii="Arial" w:hAnsi="Arial" w:cs="Arial"/>
                <w:sz w:val="18"/>
                <w:szCs w:val="18"/>
              </w:rPr>
              <w:t>s ISO 15189-accredited laboratory and CE-marked IVD tests.</w:t>
            </w:r>
          </w:p>
        </w:tc>
      </w:tr>
      <w:tr w:rsidR="00421570" w:rsidRPr="0017344A" w14:paraId="52D7721E" w14:textId="77777777">
        <w:trPr>
          <w:cantSplit/>
        </w:trPr>
        <w:tc>
          <w:tcPr>
            <w:tcW w:w="2300" w:type="dxa"/>
          </w:tcPr>
          <w:p w14:paraId="38D3D24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Innovation campus (BMHC)</w:t>
            </w:r>
          </w:p>
        </w:tc>
        <w:tc>
          <w:tcPr>
            <w:tcW w:w="3900" w:type="dxa"/>
          </w:tcPr>
          <w:p w14:paraId="3137DE8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Valorisation, intellectual property and regulatory training.</w:t>
            </w:r>
          </w:p>
        </w:tc>
        <w:tc>
          <w:tcPr>
            <w:tcW w:w="3400" w:type="dxa"/>
          </w:tcPr>
          <w:p w14:paraId="4760422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Training on IP protection and IVDR applications in WP4.</w:t>
            </w:r>
          </w:p>
        </w:tc>
      </w:tr>
      <w:tr w:rsidR="00421570" w:rsidRPr="0017344A" w14:paraId="473BE5F4" w14:textId="77777777">
        <w:trPr>
          <w:cantSplit/>
        </w:trPr>
        <w:tc>
          <w:tcPr>
            <w:tcW w:w="2300" w:type="dxa"/>
          </w:tcPr>
          <w:p w14:paraId="2E41C47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Advisory Board</w:t>
            </w:r>
          </w:p>
        </w:tc>
        <w:tc>
          <w:tcPr>
            <w:tcW w:w="3900" w:type="dxa"/>
          </w:tcPr>
          <w:p w14:paraId="2C1ABB5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Independent expertise in privacy law, biomedical ethics, health economics and patient perspectives.</w:t>
            </w:r>
          </w:p>
        </w:tc>
        <w:tc>
          <w:tcPr>
            <w:tcW w:w="3400" w:type="dxa"/>
          </w:tcPr>
          <w:p w14:paraId="18927FC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Guidance on data protection, ethics and patient engagement.</w:t>
            </w:r>
          </w:p>
        </w:tc>
      </w:tr>
    </w:tbl>
    <w:p w14:paraId="5FF1AF7C" w14:textId="77777777" w:rsidR="00421570" w:rsidRPr="0017344A" w:rsidRDefault="00000000">
      <w:pPr>
        <w:rPr>
          <w:rFonts w:ascii="Arial" w:hAnsi="Arial" w:cs="Arial"/>
        </w:rPr>
      </w:pPr>
      <w:r w:rsidRPr="0017344A">
        <w:rPr>
          <w:rFonts w:ascii="Arial" w:hAnsi="Arial" w:cs="Arial"/>
        </w:rPr>
        <w:t xml:space="preserve">Secondments are the mechanism that binds these roles together. When an industry researcher works inside an academic hospital, or an academic researcher works in a company that maintains a certified </w:t>
      </w:r>
      <w:r w:rsidRPr="0017344A">
        <w:rPr>
          <w:rFonts w:ascii="Arial" w:hAnsi="Arial" w:cs="Arial"/>
        </w:rPr>
        <w:lastRenderedPageBreak/>
        <w:t>quality system, validation practices are transferred directly between sectors. Written SOPs such as these guidelines make that transfer durable once the secondment ends.</w:t>
      </w:r>
    </w:p>
    <w:p w14:paraId="55E60CD3" w14:textId="77777777" w:rsidR="00421570" w:rsidRPr="0017344A" w:rsidRDefault="00000000">
      <w:pPr>
        <w:pStyle w:val="Heading2"/>
        <w:rPr>
          <w:rFonts w:ascii="Arial" w:hAnsi="Arial" w:cs="Arial"/>
        </w:rPr>
      </w:pPr>
      <w:bookmarkStart w:id="12" w:name="_Toc241574650"/>
      <w:r w:rsidRPr="0017344A">
        <w:rPr>
          <w:rFonts w:ascii="Arial" w:hAnsi="Arial" w:cs="Arial"/>
        </w:rPr>
        <w:t>2.4 From research to clinical use</w:t>
      </w:r>
      <w:bookmarkEnd w:id="12"/>
    </w:p>
    <w:p w14:paraId="7586E041" w14:textId="77777777" w:rsidR="00421570" w:rsidRPr="0017344A" w:rsidRDefault="00000000">
      <w:pPr>
        <w:rPr>
          <w:rFonts w:ascii="Arial" w:hAnsi="Arial" w:cs="Arial"/>
        </w:rPr>
      </w:pPr>
      <w:r w:rsidRPr="0017344A">
        <w:rPr>
          <w:rFonts w:ascii="Arial" w:hAnsi="Arial" w:cs="Arial"/>
        </w:rPr>
        <w:t>Validation proceeds in stages. Each stage answers a different question, produces a different kind of evidence and falls under different legal requirements (Table 2). Placing a study correctly on this pathway is essential for interpreting its findings and for knowing which obligations apply.</w:t>
      </w:r>
    </w:p>
    <w:p w14:paraId="52560324" w14:textId="77777777" w:rsidR="00421570" w:rsidRPr="0017344A" w:rsidRDefault="00000000">
      <w:pPr>
        <w:pStyle w:val="Caption"/>
        <w:keepNext/>
        <w:spacing w:before="160" w:after="80"/>
        <w:rPr>
          <w:rFonts w:ascii="Arial" w:hAnsi="Arial" w:cs="Arial"/>
        </w:rPr>
      </w:pPr>
      <w:r w:rsidRPr="0017344A">
        <w:rPr>
          <w:rFonts w:ascii="Arial" w:hAnsi="Arial" w:cs="Arial"/>
        </w:rPr>
        <w:t>Table 2. Stages from research method to clinical use</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1900"/>
        <w:gridCol w:w="2300"/>
        <w:gridCol w:w="2500"/>
        <w:gridCol w:w="2900"/>
      </w:tblGrid>
      <w:tr w:rsidR="00421570" w:rsidRPr="0017344A" w14:paraId="0274D82C" w14:textId="77777777">
        <w:trPr>
          <w:cantSplit/>
          <w:tblHeader/>
        </w:trPr>
        <w:tc>
          <w:tcPr>
            <w:tcW w:w="1900" w:type="dxa"/>
            <w:shd w:val="clear" w:color="auto" w:fill="EEE8F3"/>
          </w:tcPr>
          <w:p w14:paraId="48C35AB6"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Stage</w:t>
            </w:r>
          </w:p>
        </w:tc>
        <w:tc>
          <w:tcPr>
            <w:tcW w:w="2300" w:type="dxa"/>
            <w:shd w:val="clear" w:color="auto" w:fill="EEE8F3"/>
          </w:tcPr>
          <w:p w14:paraId="097BE1C5"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Question</w:t>
            </w:r>
          </w:p>
        </w:tc>
        <w:tc>
          <w:tcPr>
            <w:tcW w:w="2500" w:type="dxa"/>
            <w:shd w:val="clear" w:color="auto" w:fill="EEE8F3"/>
          </w:tcPr>
          <w:p w14:paraId="7090FA63"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Typical evidence</w:t>
            </w:r>
          </w:p>
        </w:tc>
        <w:tc>
          <w:tcPr>
            <w:tcW w:w="2900" w:type="dxa"/>
            <w:shd w:val="clear" w:color="auto" w:fill="EEE8F3"/>
          </w:tcPr>
          <w:p w14:paraId="04E28E2C"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Main legal framework</w:t>
            </w:r>
          </w:p>
        </w:tc>
      </w:tr>
      <w:tr w:rsidR="00421570" w:rsidRPr="0017344A" w14:paraId="5A3FEB6E" w14:textId="77777777">
        <w:trPr>
          <w:cantSplit/>
        </w:trPr>
        <w:tc>
          <w:tcPr>
            <w:tcW w:w="1900" w:type="dxa"/>
          </w:tcPr>
          <w:p w14:paraId="5795CD9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 Exploratory research</w:t>
            </w:r>
          </w:p>
        </w:tc>
        <w:tc>
          <w:tcPr>
            <w:tcW w:w="2300" w:type="dxa"/>
          </w:tcPr>
          <w:p w14:paraId="28FC661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Can the method identify or measure what it targets in existing data?</w:t>
            </w:r>
          </w:p>
        </w:tc>
        <w:tc>
          <w:tcPr>
            <w:tcW w:w="2500" w:type="dxa"/>
          </w:tcPr>
          <w:p w14:paraId="75E510C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Internal evaluation, visual review, documented pipeline and model record.</w:t>
            </w:r>
          </w:p>
        </w:tc>
        <w:tc>
          <w:tcPr>
            <w:tcW w:w="2900" w:type="dxa"/>
          </w:tcPr>
          <w:p w14:paraId="6FC1009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Scientific research under GDPR Art. 9(2)(j) and Art. 89 with national safeguards; ethics review; outside MDR/IVDR and AI Act obligations.</w:t>
            </w:r>
          </w:p>
        </w:tc>
      </w:tr>
      <w:tr w:rsidR="00421570" w:rsidRPr="0017344A" w14:paraId="2701660D" w14:textId="77777777">
        <w:trPr>
          <w:cantSplit/>
        </w:trPr>
        <w:tc>
          <w:tcPr>
            <w:tcW w:w="1900" w:type="dxa"/>
          </w:tcPr>
          <w:p w14:paraId="6137C7A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B. Multi-site retrospective validation</w:t>
            </w:r>
          </w:p>
        </w:tc>
        <w:tc>
          <w:tcPr>
            <w:tcW w:w="2300" w:type="dxa"/>
          </w:tcPr>
          <w:p w14:paraId="33F44D8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Does performance hold across clinics, platforms and populations?</w:t>
            </w:r>
          </w:p>
        </w:tc>
        <w:tc>
          <w:tcPr>
            <w:tcW w:w="2500" w:type="dxa"/>
          </w:tcPr>
          <w:p w14:paraId="3E50174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External and site-held-out validation; harmonised annotation; inter-observer agreement.</w:t>
            </w:r>
          </w:p>
        </w:tc>
        <w:tc>
          <w:tcPr>
            <w:tcW w:w="2900" w:type="dxa"/>
          </w:tcPr>
          <w:p w14:paraId="2199DEB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 A, plus data-sharing, processing or joint-controllership agreements across institutions and countries.</w:t>
            </w:r>
          </w:p>
        </w:tc>
      </w:tr>
      <w:tr w:rsidR="00421570" w:rsidRPr="0017344A" w14:paraId="77DE0677" w14:textId="77777777">
        <w:trPr>
          <w:cantSplit/>
        </w:trPr>
        <w:tc>
          <w:tcPr>
            <w:tcW w:w="1900" w:type="dxa"/>
          </w:tcPr>
          <w:p w14:paraId="7BB4BF3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 Prospective clinical evaluation</w:t>
            </w:r>
          </w:p>
        </w:tc>
        <w:tc>
          <w:tcPr>
            <w:tcW w:w="2300" w:type="dxa"/>
          </w:tcPr>
          <w:p w14:paraId="6018673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Does the method work within the clinical workflow, and how does it affect decisions and outcomes?</w:t>
            </w:r>
          </w:p>
        </w:tc>
        <w:tc>
          <w:tcPr>
            <w:tcW w:w="2500" w:type="dxa"/>
          </w:tcPr>
          <w:p w14:paraId="233B7DE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Prospective studies, early clinical evaluation, randomised trials.</w:t>
            </w:r>
          </w:p>
        </w:tc>
        <w:tc>
          <w:tcPr>
            <w:tcW w:w="2900" w:type="dxa"/>
          </w:tcPr>
          <w:p w14:paraId="3C5A864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Clinical investigation (MDR) or performance study (IVDR) where applicable; ethics approval; national ART law.</w:t>
            </w:r>
          </w:p>
        </w:tc>
      </w:tr>
      <w:tr w:rsidR="00421570" w:rsidRPr="0017344A" w14:paraId="08A850CC" w14:textId="77777777">
        <w:trPr>
          <w:cantSplit/>
        </w:trPr>
        <w:tc>
          <w:tcPr>
            <w:tcW w:w="1900" w:type="dxa"/>
          </w:tcPr>
          <w:p w14:paraId="1BAAF7A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 Clinical use</w:t>
            </w:r>
          </w:p>
        </w:tc>
        <w:tc>
          <w:tcPr>
            <w:tcW w:w="2300" w:type="dxa"/>
          </w:tcPr>
          <w:p w14:paraId="08EC3F7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Is the method safe, effective and controlled in routine care?</w:t>
            </w:r>
          </w:p>
        </w:tc>
        <w:tc>
          <w:tcPr>
            <w:tcW w:w="2500" w:type="dxa"/>
          </w:tcPr>
          <w:p w14:paraId="6A4B00E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Technical documentation, clinical evaluation, QMS, risk management.</w:t>
            </w:r>
          </w:p>
        </w:tc>
        <w:tc>
          <w:tcPr>
            <w:tcW w:w="2900" w:type="dxa"/>
          </w:tcPr>
          <w:p w14:paraId="5A6FA8B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CE marking or the health-institution (in-house) exemption; AI Act high-risk requirements; SoHO quality requirements.</w:t>
            </w:r>
          </w:p>
        </w:tc>
      </w:tr>
      <w:tr w:rsidR="00421570" w:rsidRPr="0017344A" w14:paraId="5D9B4ED4" w14:textId="77777777">
        <w:trPr>
          <w:cantSplit/>
        </w:trPr>
        <w:tc>
          <w:tcPr>
            <w:tcW w:w="1900" w:type="dxa"/>
          </w:tcPr>
          <w:p w14:paraId="3C304D3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 Post-deployment monitoring</w:t>
            </w:r>
          </w:p>
        </w:tc>
        <w:tc>
          <w:tcPr>
            <w:tcW w:w="2300" w:type="dxa"/>
          </w:tcPr>
          <w:p w14:paraId="240E3BA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Does the method continue to perform as expected over time?</w:t>
            </w:r>
          </w:p>
        </w:tc>
        <w:tc>
          <w:tcPr>
            <w:tcW w:w="2500" w:type="dxa"/>
          </w:tcPr>
          <w:p w14:paraId="511329E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Performance monitoring, drift detection, incident reporting.</w:t>
            </w:r>
          </w:p>
        </w:tc>
        <w:tc>
          <w:tcPr>
            <w:tcW w:w="2900" w:type="dxa"/>
          </w:tcPr>
          <w:p w14:paraId="673B00D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Post-market surveillance and vigilance (MDR/IVDR); AI Act post-market monitoring.</w:t>
            </w:r>
          </w:p>
        </w:tc>
      </w:tr>
    </w:tbl>
    <w:p w14:paraId="2A2C135A" w14:textId="77777777" w:rsidR="00421570" w:rsidRPr="0017344A" w:rsidRDefault="00421570">
      <w:pPr>
        <w:spacing w:after="60"/>
        <w:rPr>
          <w:rFonts w:ascii="Arial" w:hAnsi="Arial" w:cs="Arial"/>
        </w:rPr>
      </w:pPr>
    </w:p>
    <w:p w14:paraId="77EF3297" w14:textId="77777777" w:rsidR="00421570" w:rsidRPr="0017344A" w:rsidRDefault="00000000">
      <w:pPr>
        <w:rPr>
          <w:rFonts w:ascii="Arial" w:hAnsi="Arial" w:cs="Arial"/>
        </w:rPr>
      </w:pPr>
      <w:r w:rsidRPr="0017344A">
        <w:rPr>
          <w:rFonts w:ascii="Arial" w:hAnsi="Arial" w:cs="Arial"/>
        </w:rPr>
        <w:t>The NESTOR embryo image-analysis study described in Chapter 6 sits at Stage A. The workflow in Chapter 5 is designed so that the documentation produced at Stage A can be carried forward into Stages B and C without having to be reconstructed.</w:t>
      </w:r>
    </w:p>
    <w:p w14:paraId="2E74D553" w14:textId="77777777" w:rsidR="00421570" w:rsidRPr="0017344A" w:rsidRDefault="00000000">
      <w:pPr>
        <w:pStyle w:val="Heading1"/>
        <w:rPr>
          <w:rFonts w:ascii="Arial" w:hAnsi="Arial" w:cs="Arial"/>
        </w:rPr>
      </w:pPr>
      <w:bookmarkStart w:id="13" w:name="_Toc241574651"/>
      <w:r w:rsidRPr="0017344A">
        <w:rPr>
          <w:rFonts w:ascii="Arial" w:hAnsi="Arial" w:cs="Arial"/>
        </w:rPr>
        <w:t>3. Legal, regulatory and ethical framework</w:t>
      </w:r>
      <w:bookmarkEnd w:id="13"/>
    </w:p>
    <w:p w14:paraId="53289E67" w14:textId="77777777" w:rsidR="00421570" w:rsidRPr="0017344A" w:rsidRDefault="00000000">
      <w:pPr>
        <w:rPr>
          <w:rFonts w:ascii="Arial" w:hAnsi="Arial" w:cs="Arial"/>
        </w:rPr>
      </w:pPr>
      <w:r w:rsidRPr="0017344A">
        <w:rPr>
          <w:rFonts w:ascii="Arial" w:hAnsi="Arial" w:cs="Arial"/>
        </w:rPr>
        <w:t>Data-driven methods in reproductive medicine sit at the intersection of several legal regimes. Some apply from the first moment patient data are used; others apply only once a method is placed on the market or used to inform patient care. This chapter summarises the frameworks most relevant to NESTOR partners and relates them to the stages in Table 2. It is intended as practical orientation for researchers and developers, not as legal advice. Institutional data protection officers, ethics committees, regulatory affairs staff and, where necessary, national competent authorities should be consulted for specific cases.</w:t>
      </w:r>
    </w:p>
    <w:tbl>
      <w:tblPr>
        <w:tblW w:w="9648" w:type="dxa"/>
        <w:tblBorders>
          <w:left w:val="single" w:sz="24" w:space="0" w:color="503078"/>
        </w:tblBorders>
        <w:tblLayout w:type="fixed"/>
        <w:tblCellMar>
          <w:top w:w="120" w:type="dxa"/>
          <w:left w:w="200" w:type="dxa"/>
          <w:bottom w:w="60" w:type="dxa"/>
          <w:right w:w="200" w:type="dxa"/>
        </w:tblCellMar>
        <w:tblLook w:val="04A0" w:firstRow="1" w:lastRow="0" w:firstColumn="1" w:lastColumn="0" w:noHBand="0" w:noVBand="1"/>
      </w:tblPr>
      <w:tblGrid>
        <w:gridCol w:w="9648"/>
      </w:tblGrid>
      <w:tr w:rsidR="00421570" w:rsidRPr="0017344A" w14:paraId="68D4607F" w14:textId="77777777">
        <w:tc>
          <w:tcPr>
            <w:tcW w:w="9648" w:type="dxa"/>
            <w:shd w:val="clear" w:color="auto" w:fill="F6F2F9"/>
          </w:tcPr>
          <w:p w14:paraId="5851B9AC" w14:textId="77777777" w:rsidR="00421570" w:rsidRPr="0017344A" w:rsidRDefault="00000000">
            <w:pPr>
              <w:keepNext/>
              <w:spacing w:after="80"/>
              <w:jc w:val="left"/>
              <w:rPr>
                <w:rFonts w:ascii="Arial" w:hAnsi="Arial" w:cs="Arial"/>
              </w:rPr>
            </w:pPr>
            <w:r w:rsidRPr="0017344A">
              <w:rPr>
                <w:rFonts w:ascii="Arial" w:hAnsi="Arial" w:cs="Arial"/>
                <w:b/>
                <w:color w:val="503078"/>
              </w:rPr>
              <w:lastRenderedPageBreak/>
              <w:t>Status of the rules at the time of writing (September 2026)</w:t>
            </w:r>
          </w:p>
          <w:p w14:paraId="524CD6AC" w14:textId="77777777" w:rsidR="00421570" w:rsidRPr="0017344A" w:rsidRDefault="00000000">
            <w:pPr>
              <w:spacing w:after="80"/>
              <w:jc w:val="left"/>
              <w:rPr>
                <w:rFonts w:ascii="Arial" w:hAnsi="Arial" w:cs="Arial"/>
              </w:rPr>
            </w:pPr>
            <w:r w:rsidRPr="0017344A">
              <w:rPr>
                <w:rFonts w:ascii="Arial" w:hAnsi="Arial" w:cs="Arial"/>
              </w:rPr>
              <w:t>Several of the instruments discussed below are recent or under revision. The AI Act was amended by Regulation (EU) 2026/1744, which postponed the application of high-risk requirements. A targeted revision of the MDR and IVDR, proposed by the European Commission in December 2025, is still in the legislative process. The SoHO Regulation applies from 7 August 2027, and the EHDS secondary-use rules apply mainly from 2029. Partners should check the current status before relying on specific dates or provisions.</w:t>
            </w:r>
          </w:p>
        </w:tc>
      </w:tr>
    </w:tbl>
    <w:p w14:paraId="3686C413" w14:textId="77777777" w:rsidR="00421570" w:rsidRPr="0017344A" w:rsidRDefault="00421570">
      <w:pPr>
        <w:spacing w:after="60"/>
        <w:rPr>
          <w:rFonts w:ascii="Arial" w:hAnsi="Arial" w:cs="Arial"/>
        </w:rPr>
      </w:pPr>
    </w:p>
    <w:p w14:paraId="6B1CE1DE" w14:textId="77777777" w:rsidR="00421570" w:rsidRPr="0017344A" w:rsidRDefault="00000000">
      <w:pPr>
        <w:pStyle w:val="Caption"/>
        <w:keepNext/>
        <w:spacing w:before="160" w:after="80"/>
        <w:rPr>
          <w:rFonts w:ascii="Arial" w:hAnsi="Arial" w:cs="Arial"/>
        </w:rPr>
      </w:pPr>
      <w:r w:rsidRPr="0017344A">
        <w:rPr>
          <w:rFonts w:ascii="Arial" w:hAnsi="Arial" w:cs="Arial"/>
        </w:rPr>
        <w:t>Table 3. Overview of the main legal and ethical instruments</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250"/>
        <w:gridCol w:w="2400"/>
        <w:gridCol w:w="3050"/>
        <w:gridCol w:w="1900"/>
      </w:tblGrid>
      <w:tr w:rsidR="00421570" w:rsidRPr="0017344A" w14:paraId="750A6E2F" w14:textId="77777777">
        <w:trPr>
          <w:cantSplit/>
          <w:tblHeader/>
        </w:trPr>
        <w:tc>
          <w:tcPr>
            <w:tcW w:w="2250" w:type="dxa"/>
            <w:shd w:val="clear" w:color="auto" w:fill="EEE8F3"/>
          </w:tcPr>
          <w:p w14:paraId="4E12011A"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Instrument</w:t>
            </w:r>
          </w:p>
        </w:tc>
        <w:tc>
          <w:tcPr>
            <w:tcW w:w="2400" w:type="dxa"/>
            <w:shd w:val="clear" w:color="auto" w:fill="EEE8F3"/>
          </w:tcPr>
          <w:p w14:paraId="23C11B3D"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What it governs</w:t>
            </w:r>
          </w:p>
        </w:tc>
        <w:tc>
          <w:tcPr>
            <w:tcW w:w="3050" w:type="dxa"/>
            <w:shd w:val="clear" w:color="auto" w:fill="EEE8F3"/>
          </w:tcPr>
          <w:p w14:paraId="423EB001"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Relevance to NESTOR validation work</w:t>
            </w:r>
          </w:p>
        </w:tc>
        <w:tc>
          <w:tcPr>
            <w:tcW w:w="1900" w:type="dxa"/>
            <w:shd w:val="clear" w:color="auto" w:fill="EEE8F3"/>
          </w:tcPr>
          <w:p w14:paraId="79F2DCB8"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When it applies</w:t>
            </w:r>
          </w:p>
        </w:tc>
      </w:tr>
      <w:tr w:rsidR="00421570" w:rsidRPr="0017344A" w14:paraId="4235941B" w14:textId="77777777">
        <w:trPr>
          <w:cantSplit/>
        </w:trPr>
        <w:tc>
          <w:tcPr>
            <w:tcW w:w="2250" w:type="dxa"/>
          </w:tcPr>
          <w:p w14:paraId="2C31FE4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GDPR (EU) 2016/679 and national laws [7]</w:t>
            </w:r>
          </w:p>
        </w:tc>
        <w:tc>
          <w:tcPr>
            <w:tcW w:w="2400" w:type="dxa"/>
          </w:tcPr>
          <w:p w14:paraId="14F4D7B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Processing of personal data, including health and genetic data.</w:t>
            </w:r>
          </w:p>
        </w:tc>
        <w:tc>
          <w:tcPr>
            <w:tcW w:w="3050" w:type="dxa"/>
          </w:tcPr>
          <w:p w14:paraId="10044CD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Use of embryo images, clinical records and genomic data linked to patients.</w:t>
            </w:r>
          </w:p>
        </w:tc>
        <w:tc>
          <w:tcPr>
            <w:tcW w:w="1900" w:type="dxa"/>
          </w:tcPr>
          <w:p w14:paraId="10059BC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From Stage A onwards.</w:t>
            </w:r>
          </w:p>
        </w:tc>
      </w:tr>
      <w:tr w:rsidR="00421570" w:rsidRPr="0017344A" w14:paraId="439D0F20" w14:textId="77777777">
        <w:trPr>
          <w:cantSplit/>
        </w:trPr>
        <w:tc>
          <w:tcPr>
            <w:tcW w:w="2250" w:type="dxa"/>
          </w:tcPr>
          <w:p w14:paraId="1C7FAAD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MDR (EU) 2017/745 [8]</w:t>
            </w:r>
          </w:p>
        </w:tc>
        <w:tc>
          <w:tcPr>
            <w:tcW w:w="2400" w:type="dxa"/>
          </w:tcPr>
          <w:p w14:paraId="68CA14E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Medical devices, including software, placed on the market or used in health institutions.</w:t>
            </w:r>
          </w:p>
        </w:tc>
        <w:tc>
          <w:tcPr>
            <w:tcW w:w="3050" w:type="dxa"/>
          </w:tcPr>
          <w:p w14:paraId="2B90EC7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Software intended to support conception, such as embryo assessment tools.</w:t>
            </w:r>
          </w:p>
        </w:tc>
        <w:tc>
          <w:tcPr>
            <w:tcW w:w="1900" w:type="dxa"/>
          </w:tcPr>
          <w:p w14:paraId="71CC3F1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Stages C–E; qualification is decided by the intended purpose.</w:t>
            </w:r>
          </w:p>
        </w:tc>
      </w:tr>
      <w:tr w:rsidR="00421570" w:rsidRPr="0017344A" w14:paraId="02BB2D7E" w14:textId="77777777">
        <w:trPr>
          <w:cantSplit/>
        </w:trPr>
        <w:tc>
          <w:tcPr>
            <w:tcW w:w="2250" w:type="dxa"/>
          </w:tcPr>
          <w:p w14:paraId="7B5A1A4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IVDR (EU) 2017/746 [9]</w:t>
            </w:r>
          </w:p>
        </w:tc>
        <w:tc>
          <w:tcPr>
            <w:tcW w:w="2400" w:type="dxa"/>
          </w:tcPr>
          <w:p w14:paraId="4AAE5BC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 vitro diagnostic devices, including software.</w:t>
            </w:r>
          </w:p>
        </w:tc>
        <w:tc>
          <w:tcPr>
            <w:tcW w:w="3050" w:type="dxa"/>
          </w:tcPr>
          <w:p w14:paraId="1E048AD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Genomic tests such as non-invasive PGT, NIPT and receptivity tests, and their analysis software.</w:t>
            </w:r>
          </w:p>
        </w:tc>
        <w:tc>
          <w:tcPr>
            <w:tcW w:w="1900" w:type="dxa"/>
          </w:tcPr>
          <w:p w14:paraId="2F4EF28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Stages C–E.</w:t>
            </w:r>
          </w:p>
        </w:tc>
      </w:tr>
      <w:tr w:rsidR="00421570" w:rsidRPr="0017344A" w14:paraId="7E2B7078" w14:textId="77777777">
        <w:trPr>
          <w:cantSplit/>
        </w:trPr>
        <w:tc>
          <w:tcPr>
            <w:tcW w:w="2250" w:type="dxa"/>
          </w:tcPr>
          <w:p w14:paraId="61CCE55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AI Act (EU) 2024/1689, as amended by (EU) 2026/1744 [10, 11]</w:t>
            </w:r>
          </w:p>
        </w:tc>
        <w:tc>
          <w:tcPr>
            <w:tcW w:w="2400" w:type="dxa"/>
          </w:tcPr>
          <w:p w14:paraId="0C86CE5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AI systems; high-risk requirements for AI in regulated products.</w:t>
            </w:r>
          </w:p>
        </w:tc>
        <w:tc>
          <w:tcPr>
            <w:tcW w:w="3050" w:type="dxa"/>
          </w:tcPr>
          <w:p w14:paraId="2AA5BB2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AI-based medical device software requiring notified-body assessment.</w:t>
            </w:r>
          </w:p>
        </w:tc>
        <w:tc>
          <w:tcPr>
            <w:tcW w:w="1900" w:type="dxa"/>
          </w:tcPr>
          <w:p w14:paraId="3309130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High-risk obligations for such products apply from 2 August 2028; research is excluded.</w:t>
            </w:r>
          </w:p>
        </w:tc>
      </w:tr>
      <w:tr w:rsidR="00421570" w:rsidRPr="0017344A" w14:paraId="289D9D3A" w14:textId="77777777">
        <w:trPr>
          <w:cantSplit/>
        </w:trPr>
        <w:tc>
          <w:tcPr>
            <w:tcW w:w="2250" w:type="dxa"/>
          </w:tcPr>
          <w:p w14:paraId="63869AA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SoHO Regulation (EU) 2024/1938 [12]</w:t>
            </w:r>
          </w:p>
        </w:tc>
        <w:tc>
          <w:tcPr>
            <w:tcW w:w="2400" w:type="dxa"/>
          </w:tcPr>
          <w:p w14:paraId="3DE7408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 and safety of substances of human origin, including gametes and embryos.</w:t>
            </w:r>
          </w:p>
        </w:tc>
        <w:tc>
          <w:tcPr>
            <w:tcW w:w="3050" w:type="dxa"/>
          </w:tcPr>
          <w:p w14:paraId="6BA412D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 management in ART establishments; authorisation of new SoHO preparations and processes.</w:t>
            </w:r>
          </w:p>
        </w:tc>
        <w:tc>
          <w:tcPr>
            <w:tcW w:w="1900" w:type="dxa"/>
          </w:tcPr>
          <w:p w14:paraId="10730BF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From 7 August 2027.</w:t>
            </w:r>
          </w:p>
        </w:tc>
      </w:tr>
      <w:tr w:rsidR="00421570" w:rsidRPr="0017344A" w14:paraId="49277CFE" w14:textId="77777777">
        <w:trPr>
          <w:cantSplit/>
        </w:trPr>
        <w:tc>
          <w:tcPr>
            <w:tcW w:w="2250" w:type="dxa"/>
          </w:tcPr>
          <w:p w14:paraId="41A585E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EHDS Regulation (EU) 2025/327 [13] [13]</w:t>
            </w:r>
          </w:p>
        </w:tc>
        <w:tc>
          <w:tcPr>
            <w:tcW w:w="2400" w:type="dxa"/>
          </w:tcPr>
          <w:p w14:paraId="060E9B8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Primary and secondary use of electronic health data.</w:t>
            </w:r>
          </w:p>
        </w:tc>
        <w:tc>
          <w:tcPr>
            <w:tcW w:w="3050" w:type="dxa"/>
          </w:tcPr>
          <w:p w14:paraId="79705A4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Future route for accessing multi-country health data for research and innovation.</w:t>
            </w:r>
          </w:p>
        </w:tc>
        <w:tc>
          <w:tcPr>
            <w:tcW w:w="1900" w:type="dxa"/>
          </w:tcPr>
          <w:p w14:paraId="6643913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Phased; secondary use mainly from March 2029.</w:t>
            </w:r>
          </w:p>
        </w:tc>
      </w:tr>
      <w:tr w:rsidR="00421570" w:rsidRPr="0017344A" w14:paraId="4D64CB73" w14:textId="77777777">
        <w:trPr>
          <w:cantSplit/>
        </w:trPr>
        <w:tc>
          <w:tcPr>
            <w:tcW w:w="2250" w:type="dxa"/>
          </w:tcPr>
          <w:p w14:paraId="0AF3001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National ART, research and ethics laws</w:t>
            </w:r>
          </w:p>
        </w:tc>
        <w:tc>
          <w:tcPr>
            <w:tcW w:w="2400" w:type="dxa"/>
          </w:tcPr>
          <w:p w14:paraId="2756D70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Embryo protection, medically assisted reproduction and research on human subjects.</w:t>
            </w:r>
          </w:p>
        </w:tc>
        <w:tc>
          <w:tcPr>
            <w:tcW w:w="3050" w:type="dxa"/>
          </w:tcPr>
          <w:p w14:paraId="4983361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Consent, permitted uses of treatment data, ethics review.</w:t>
            </w:r>
          </w:p>
        </w:tc>
        <w:tc>
          <w:tcPr>
            <w:tcW w:w="1900" w:type="dxa"/>
          </w:tcPr>
          <w:p w14:paraId="49BF5D2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From Stage A onwards.</w:t>
            </w:r>
          </w:p>
        </w:tc>
      </w:tr>
    </w:tbl>
    <w:p w14:paraId="2EDDDC69" w14:textId="77777777" w:rsidR="00421570" w:rsidRPr="0017344A" w:rsidRDefault="00421570">
      <w:pPr>
        <w:spacing w:after="60"/>
        <w:rPr>
          <w:rFonts w:ascii="Arial" w:hAnsi="Arial" w:cs="Arial"/>
        </w:rPr>
      </w:pPr>
    </w:p>
    <w:p w14:paraId="105D75A0" w14:textId="77777777" w:rsidR="00421570" w:rsidRPr="0017344A" w:rsidRDefault="00000000">
      <w:pPr>
        <w:pStyle w:val="Heading2"/>
        <w:rPr>
          <w:rFonts w:ascii="Arial" w:hAnsi="Arial" w:cs="Arial"/>
        </w:rPr>
      </w:pPr>
      <w:bookmarkStart w:id="14" w:name="_Toc241574652"/>
      <w:r w:rsidRPr="0017344A">
        <w:rPr>
          <w:rFonts w:ascii="Arial" w:hAnsi="Arial" w:cs="Arial"/>
        </w:rPr>
        <w:t>3.1 Data protection</w:t>
      </w:r>
      <w:bookmarkEnd w:id="14"/>
    </w:p>
    <w:p w14:paraId="6C76278E" w14:textId="77777777" w:rsidR="00421570" w:rsidRPr="0017344A" w:rsidRDefault="00000000">
      <w:pPr>
        <w:rPr>
          <w:rFonts w:ascii="Arial" w:hAnsi="Arial" w:cs="Arial"/>
        </w:rPr>
      </w:pPr>
      <w:r w:rsidRPr="0017344A">
        <w:rPr>
          <w:rFonts w:ascii="Arial" w:hAnsi="Arial" w:cs="Arial"/>
          <w:b/>
        </w:rPr>
        <w:t>Personal data in embryo image analysis.</w:t>
      </w:r>
      <w:r w:rsidRPr="0017344A">
        <w:rPr>
          <w:rFonts w:ascii="Arial" w:hAnsi="Arial" w:cs="Arial"/>
        </w:rPr>
        <w:t xml:space="preserve"> Embryos are not data subjects under the GDPR. However, time-lapse images and their associated metadata are linked to patients’ treatment records and therefore relate to identifiable individuals, the prospective parents. Such data are health data, and genomic data derived from embryos or patients are genetic data. Both belong to the special categories of Article 9 GDPR. Pseudonymised data, where a linking key exists anywhere, remain personal data (Recital 26). Only data that have been effectively anonymised, with no reasonably likely means of re-identification, fall outside the GDPR. For rich clinical and image datasets this threshold is difficult to reach, so partners should generally assume that the GDPR applies.</w:t>
      </w:r>
    </w:p>
    <w:p w14:paraId="0BD867C7" w14:textId="77777777" w:rsidR="00421570" w:rsidRPr="0017344A" w:rsidRDefault="00000000">
      <w:pPr>
        <w:rPr>
          <w:rFonts w:ascii="Arial" w:hAnsi="Arial" w:cs="Arial"/>
        </w:rPr>
      </w:pPr>
      <w:r w:rsidRPr="0017344A">
        <w:rPr>
          <w:rFonts w:ascii="Arial" w:hAnsi="Arial" w:cs="Arial"/>
          <w:b/>
        </w:rPr>
        <w:lastRenderedPageBreak/>
        <w:t>Lawful basis for research.</w:t>
      </w:r>
      <w:r w:rsidRPr="0017344A">
        <w:rPr>
          <w:rFonts w:ascii="Arial" w:hAnsi="Arial" w:cs="Arial"/>
        </w:rPr>
        <w:t xml:space="preserve"> Processing requires both a lawful basis under Article 6 and a condition under Article 9(2). For scientific research, Article 9(2)(j) permits processing where it is based on EU or national law and is subject to appropriate safeguards under Article 89(1), such as data minimisation and pseudonymisation. Explicit consent (Article 9(2)(a)) is an alternative, but it is not always the most suitable basis for retrospective research on routinely collected treatment data.</w:t>
      </w:r>
    </w:p>
    <w:p w14:paraId="0811F412" w14:textId="77777777" w:rsidR="00421570" w:rsidRPr="0017344A" w:rsidRDefault="00000000">
      <w:pPr>
        <w:rPr>
          <w:rFonts w:ascii="Arial" w:hAnsi="Arial" w:cs="Arial"/>
        </w:rPr>
      </w:pPr>
      <w:r w:rsidRPr="0017344A">
        <w:rPr>
          <w:rFonts w:ascii="Arial" w:hAnsi="Arial" w:cs="Arial"/>
          <w:b/>
        </w:rPr>
        <w:t>National divergence.</w:t>
      </w:r>
      <w:r w:rsidRPr="0017344A">
        <w:rPr>
          <w:rFonts w:ascii="Arial" w:hAnsi="Arial" w:cs="Arial"/>
        </w:rPr>
        <w:t xml:space="preserve"> Article 9(4) allows Member States to introduce further conditions for health and genetic data, and research safeguards are largely defined nationally. In the NESTOR countries, the relevant implementing laws are the Dutch GDPR Implementation Act (UAVG), the Estonian Personal Data Protection Act and Greek Law 4624/2019 [17]. These differ in how they treat research without consent, in the role of ethics committees and in the conditions for further processing. A dataset that can be used lawfully in one country may therefore require a different justification, or additional safeguards, in another. This is one of the main practical obstacles to cross-border validation, and it is why the documentation described in Chapter 4 includes the lawful basis at each site.</w:t>
      </w:r>
    </w:p>
    <w:p w14:paraId="33CD018D" w14:textId="77777777" w:rsidR="00421570" w:rsidRPr="0017344A" w:rsidRDefault="00000000">
      <w:pPr>
        <w:rPr>
          <w:rFonts w:ascii="Arial" w:hAnsi="Arial" w:cs="Arial"/>
        </w:rPr>
      </w:pPr>
      <w:r w:rsidRPr="0017344A">
        <w:rPr>
          <w:rFonts w:ascii="Arial" w:hAnsi="Arial" w:cs="Arial"/>
          <w:b/>
        </w:rPr>
        <w:t>Roles and agreements across sectors.</w:t>
      </w:r>
      <w:r w:rsidRPr="0017344A">
        <w:rPr>
          <w:rFonts w:ascii="Arial" w:hAnsi="Arial" w:cs="Arial"/>
        </w:rPr>
        <w:t xml:space="preserve"> When an SME and a hospital work together, their roles must be defined. The hospital is usually the controller of patient data. A company that analyses data on the hospital’s instructions acts as a processor and needs a data processing agreement (Article 28). Partners who jointly determine the purposes and means of a study are joint controllers and need an arrangement under Article 26. Seconded researchers working within a host institution’s environment should be covered by that institution’s confidentiality and access procedures.</w:t>
      </w:r>
    </w:p>
    <w:p w14:paraId="5AC13BBD" w14:textId="77777777" w:rsidR="00421570" w:rsidRPr="0017344A" w:rsidRDefault="00000000">
      <w:pPr>
        <w:rPr>
          <w:rFonts w:ascii="Arial" w:hAnsi="Arial" w:cs="Arial"/>
        </w:rPr>
      </w:pPr>
      <w:r w:rsidRPr="0017344A">
        <w:rPr>
          <w:rFonts w:ascii="Arial" w:hAnsi="Arial" w:cs="Arial"/>
          <w:b/>
        </w:rPr>
        <w:t>Data protection impact assessment.</w:t>
      </w:r>
      <w:r w:rsidRPr="0017344A">
        <w:rPr>
          <w:rFonts w:ascii="Arial" w:hAnsi="Arial" w:cs="Arial"/>
        </w:rPr>
        <w:t xml:space="preserve"> Large-scale processing of health or genetic data, or the use of new technologies such as AI, will normally require a data protection impact assessment (DPIA) under Article 35. A DPIA carried out at Stage A can be updated as the method moves towards clinical use.</w:t>
      </w:r>
    </w:p>
    <w:p w14:paraId="421DA05F" w14:textId="77777777" w:rsidR="00421570" w:rsidRPr="0017344A" w:rsidRDefault="00000000">
      <w:pPr>
        <w:rPr>
          <w:rFonts w:ascii="Arial" w:hAnsi="Arial" w:cs="Arial"/>
        </w:rPr>
      </w:pPr>
      <w:r w:rsidRPr="0017344A">
        <w:rPr>
          <w:rFonts w:ascii="Arial" w:hAnsi="Arial" w:cs="Arial"/>
          <w:b/>
        </w:rPr>
        <w:t>Keeping data in place.</w:t>
      </w:r>
      <w:r w:rsidRPr="0017344A">
        <w:rPr>
          <w:rFonts w:ascii="Arial" w:hAnsi="Arial" w:cs="Arial"/>
        </w:rPr>
        <w:t xml:space="preserve"> The embryo-analysis work in this deliverable was carried out within the approved computing environment at MUMC+, because restrictions on data transfer applied. This “model-to-data” approach, in which the analysis is brought to the data rather than the other way round, reduces transfer risk and simplifies cross-border compliance. It is recommended as the default for NESTOR multi-site validation (Section 4.4).</w:t>
      </w:r>
    </w:p>
    <w:p w14:paraId="059E26C5" w14:textId="77777777" w:rsidR="00421570" w:rsidRPr="0017344A" w:rsidRDefault="00000000">
      <w:pPr>
        <w:pStyle w:val="Heading2"/>
        <w:rPr>
          <w:rFonts w:ascii="Arial" w:hAnsi="Arial" w:cs="Arial"/>
        </w:rPr>
      </w:pPr>
      <w:bookmarkStart w:id="15" w:name="_Toc241574653"/>
      <w:r w:rsidRPr="0017344A">
        <w:rPr>
          <w:rFonts w:ascii="Arial" w:hAnsi="Arial" w:cs="Arial"/>
        </w:rPr>
        <w:t>3.2 Medical device and in vitro diagnostic regulation</w:t>
      </w:r>
      <w:bookmarkEnd w:id="15"/>
    </w:p>
    <w:p w14:paraId="1F420745" w14:textId="77777777" w:rsidR="00421570" w:rsidRPr="0017344A" w:rsidRDefault="00000000">
      <w:pPr>
        <w:rPr>
          <w:rFonts w:ascii="Arial" w:hAnsi="Arial" w:cs="Arial"/>
        </w:rPr>
      </w:pPr>
      <w:r w:rsidRPr="0017344A">
        <w:rPr>
          <w:rFonts w:ascii="Arial" w:hAnsi="Arial" w:cs="Arial"/>
          <w:b/>
        </w:rPr>
        <w:t>Qualification.</w:t>
      </w:r>
      <w:r w:rsidRPr="0017344A">
        <w:rPr>
          <w:rFonts w:ascii="Arial" w:hAnsi="Arial" w:cs="Arial"/>
        </w:rPr>
        <w:t xml:space="preserve"> Under Article 2(1) of the MDR, software intended by its manufacturer to be used for purposes including diagnosis, prediction or prognosis of disease, or the “control or support of conception”, is a medical device. Software that assesses embryos to support selection for transfer is therefore likely to qualify as a medical device. Software that analyses specimens examined in vitro, such as genomic data from spent culture medium, cell-free DNA or endometrial biopsies, will generally fall under the IVDR. Qualification depends on the </w:t>
      </w:r>
      <w:r w:rsidRPr="0017344A">
        <w:rPr>
          <w:rFonts w:ascii="Arial" w:hAnsi="Arial" w:cs="Arial"/>
          <w:i/>
        </w:rPr>
        <w:t>intended purpose</w:t>
      </w:r>
      <w:r w:rsidRPr="0017344A">
        <w:rPr>
          <w:rFonts w:ascii="Arial" w:hAnsi="Arial" w:cs="Arial"/>
        </w:rPr>
        <w:t xml:space="preserve"> stated by the manufacturer, not on the technology itself. The Medical Device Coordination Group guidance MDCG 2019-11 on software qualification and classification [18] should be consulted. This is why intended use is recorded at Step 1 of the workflow (Section 5.1).</w:t>
      </w:r>
    </w:p>
    <w:p w14:paraId="431DA248" w14:textId="77777777" w:rsidR="00421570" w:rsidRPr="0017344A" w:rsidRDefault="00000000">
      <w:pPr>
        <w:rPr>
          <w:rFonts w:ascii="Arial" w:hAnsi="Arial" w:cs="Arial"/>
        </w:rPr>
      </w:pPr>
      <w:r w:rsidRPr="0017344A">
        <w:rPr>
          <w:rFonts w:ascii="Arial" w:hAnsi="Arial" w:cs="Arial"/>
          <w:b/>
        </w:rPr>
        <w:t>Classification.</w:t>
      </w:r>
      <w:r w:rsidRPr="0017344A">
        <w:rPr>
          <w:rFonts w:ascii="Arial" w:hAnsi="Arial" w:cs="Arial"/>
        </w:rPr>
        <w:t xml:space="preserve"> Under MDR Annex VIII, Rule 11, software that provides information used to make decisions for diagnostic or therapeutic purposes is classified at least as class IIa, which requires assessment by a notified body. Under the IVDR, most genetic tests fall in class C.</w:t>
      </w:r>
    </w:p>
    <w:p w14:paraId="62E7712E" w14:textId="77777777" w:rsidR="00421570" w:rsidRPr="0017344A" w:rsidRDefault="00000000">
      <w:pPr>
        <w:rPr>
          <w:rFonts w:ascii="Arial" w:hAnsi="Arial" w:cs="Arial"/>
        </w:rPr>
      </w:pPr>
      <w:r w:rsidRPr="0017344A">
        <w:rPr>
          <w:rFonts w:ascii="Arial" w:hAnsi="Arial" w:cs="Arial"/>
          <w:b/>
        </w:rPr>
        <w:t>Research use.</w:t>
      </w:r>
      <w:r w:rsidRPr="0017344A">
        <w:rPr>
          <w:rFonts w:ascii="Arial" w:hAnsi="Arial" w:cs="Arial"/>
        </w:rPr>
        <w:t xml:space="preserve"> Software used only in research, without being placed on the market or used to inform the care of individual patients, is not subject to the conformity assessment requirements of the MDR or IVDR. The research exemption ends when outputs start to influence clinical decisions. At that point, the study becomes a clinical investigation (MDR) or performance study (IVDR), or the device must be CE-marked or used under the in-house exemption.</w:t>
      </w:r>
    </w:p>
    <w:p w14:paraId="63EDE76C" w14:textId="77777777" w:rsidR="00421570" w:rsidRPr="0017344A" w:rsidRDefault="00000000">
      <w:pPr>
        <w:rPr>
          <w:rFonts w:ascii="Arial" w:hAnsi="Arial" w:cs="Arial"/>
        </w:rPr>
      </w:pPr>
      <w:r w:rsidRPr="0017344A">
        <w:rPr>
          <w:rFonts w:ascii="Arial" w:hAnsi="Arial" w:cs="Arial"/>
          <w:b/>
        </w:rPr>
        <w:lastRenderedPageBreak/>
        <w:t>The in-house exemption and its cross-border limit.</w:t>
      </w:r>
      <w:r w:rsidRPr="0017344A">
        <w:rPr>
          <w:rFonts w:ascii="Arial" w:hAnsi="Arial" w:cs="Arial"/>
        </w:rPr>
        <w:t xml:space="preserve"> Article 5(5) of both regulations allows health institutions to manufacture and use devices in-house without CE marking. The conditions are that the devices are not transferred to another legal entity, that the institution operates an appropriate quality management system, that it justifies why an equivalent CE-marked device cannot meet the patient group’s needs, and that it publishes a declaration. This route can suit a hospital that develops a tool for its own laboratory. However, it does not currently allow the tool to be shared with a partner clinic in another country. For a NESTOR method to be used at several sites, CE marking is generally required. The Commission’s December 2025 proposal for a targeted revision of the MDR and IVDR [19] would relax some of these conditions, including allowing transfer in the interest of patient safety or public health. It would also revise the software classification rules and broaden what counts as clinical evidence. Partners should follow the outcome of the legislative process.</w:t>
      </w:r>
    </w:p>
    <w:p w14:paraId="38D401C9" w14:textId="77777777" w:rsidR="00421570" w:rsidRPr="0017344A" w:rsidRDefault="00000000">
      <w:pPr>
        <w:rPr>
          <w:rFonts w:ascii="Arial" w:hAnsi="Arial" w:cs="Arial"/>
        </w:rPr>
      </w:pPr>
      <w:r w:rsidRPr="0017344A">
        <w:rPr>
          <w:rFonts w:ascii="Arial" w:hAnsi="Arial" w:cs="Arial"/>
          <w:b/>
        </w:rPr>
        <w:t>Quality and technical standards.</w:t>
      </w:r>
      <w:r w:rsidRPr="0017344A">
        <w:rPr>
          <w:rFonts w:ascii="Arial" w:hAnsi="Arial" w:cs="Arial"/>
        </w:rPr>
        <w:t xml:space="preserve"> The standards commonly used to demonstrate conformity provide a useful template even at the research stage. They include ISO 13485 for quality management, IEC 62304 for the software life cycle, ISO 14971 for risk management and, for laboratories, ISO 15189 [20]. Adopting their core habits early, such as version control, documented requirements and risk registers, makes later conformity assessment far less costly. NESTOR SMEs already hold experience with these standards, which is a key cross-sectoral asset for academic partners.</w:t>
      </w:r>
    </w:p>
    <w:p w14:paraId="385556E9" w14:textId="77777777" w:rsidR="00421570" w:rsidRPr="0017344A" w:rsidRDefault="00000000">
      <w:pPr>
        <w:pStyle w:val="Heading2"/>
        <w:rPr>
          <w:rFonts w:ascii="Arial" w:hAnsi="Arial" w:cs="Arial"/>
        </w:rPr>
      </w:pPr>
      <w:bookmarkStart w:id="16" w:name="_Toc241574654"/>
      <w:r w:rsidRPr="0017344A">
        <w:rPr>
          <w:rFonts w:ascii="Arial" w:hAnsi="Arial" w:cs="Arial"/>
        </w:rPr>
        <w:t>3.3 Artificial intelligence regulation</w:t>
      </w:r>
      <w:bookmarkEnd w:id="16"/>
    </w:p>
    <w:p w14:paraId="3CF3E8C9" w14:textId="77777777" w:rsidR="00421570" w:rsidRPr="0017344A" w:rsidRDefault="00000000">
      <w:pPr>
        <w:rPr>
          <w:rFonts w:ascii="Arial" w:hAnsi="Arial" w:cs="Arial"/>
        </w:rPr>
      </w:pPr>
      <w:r w:rsidRPr="0017344A">
        <w:rPr>
          <w:rFonts w:ascii="Arial" w:hAnsi="Arial" w:cs="Arial"/>
          <w:b/>
        </w:rPr>
        <w:t>Research exclusion.</w:t>
      </w:r>
      <w:r w:rsidRPr="0017344A">
        <w:rPr>
          <w:rFonts w:ascii="Arial" w:hAnsi="Arial" w:cs="Arial"/>
        </w:rPr>
        <w:t xml:space="preserve"> The AI Act does not apply to AI systems developed and put into service for the sole purpose of scientific research and development (Article 2(6)). It also does not apply to research, testing and development before a system is placed on the market, with the exception of testing in real-world conditions (Article 2(8)). Stage A and most Stage B work in NESTOR is therefore outside its scope.</w:t>
      </w:r>
    </w:p>
    <w:p w14:paraId="74362D13" w14:textId="77777777" w:rsidR="00421570" w:rsidRPr="0017344A" w:rsidRDefault="00000000">
      <w:pPr>
        <w:rPr>
          <w:rFonts w:ascii="Arial" w:hAnsi="Arial" w:cs="Arial"/>
        </w:rPr>
      </w:pPr>
      <w:r w:rsidRPr="0017344A">
        <w:rPr>
          <w:rFonts w:ascii="Arial" w:hAnsi="Arial" w:cs="Arial"/>
          <w:b/>
        </w:rPr>
        <w:t>High-risk classification.</w:t>
      </w:r>
      <w:r w:rsidRPr="0017344A">
        <w:rPr>
          <w:rFonts w:ascii="Arial" w:hAnsi="Arial" w:cs="Arial"/>
        </w:rPr>
        <w:t xml:space="preserve"> An AI system is high-risk under Article 6(1) if it is, or is a safety component of, a product covered by the legislation listed in Annex I that requires third-party conformity assessment. The MDR and IVDR are on that list. An AI-based embryo assessment tool that is a class IIa or higher medical device would therefore be a high-risk AI system. Following the amendment adopted in 2026 [11], the high-risk obligations for such products apply from 2 August 2028. The Commission’s MDR/IVDR proposal would change how the AI Act interacts with the medical device framework, which may affect this classification in future.</w:t>
      </w:r>
    </w:p>
    <w:p w14:paraId="5D6C2BBC" w14:textId="77777777" w:rsidR="00421570" w:rsidRPr="0017344A" w:rsidRDefault="00000000">
      <w:pPr>
        <w:keepNext/>
        <w:rPr>
          <w:rFonts w:ascii="Arial" w:hAnsi="Arial" w:cs="Arial"/>
        </w:rPr>
      </w:pPr>
      <w:r w:rsidRPr="0017344A">
        <w:rPr>
          <w:rFonts w:ascii="Arial" w:hAnsi="Arial" w:cs="Arial"/>
          <w:b/>
        </w:rPr>
        <w:t>What the requirements mean for validation.</w:t>
      </w:r>
      <w:r w:rsidRPr="0017344A">
        <w:rPr>
          <w:rFonts w:ascii="Arial" w:hAnsi="Arial" w:cs="Arial"/>
        </w:rPr>
        <w:t xml:space="preserve"> Although they will not bind research work, the AI Act’s high-risk requirements describe good validation practice and map closely onto the five-stage workflow:</w:t>
      </w:r>
    </w:p>
    <w:p w14:paraId="19D6B2A0" w14:textId="77777777" w:rsidR="00421570" w:rsidRPr="0017344A" w:rsidRDefault="00000000">
      <w:pPr>
        <w:pStyle w:val="ListBullet"/>
        <w:rPr>
          <w:rFonts w:ascii="Arial" w:hAnsi="Arial" w:cs="Arial"/>
        </w:rPr>
      </w:pPr>
      <w:r w:rsidRPr="0017344A">
        <w:rPr>
          <w:rFonts w:ascii="Arial" w:hAnsi="Arial" w:cs="Arial"/>
        </w:rPr>
        <w:t>a risk management system (Article 9), which corresponds to defining unacceptable errors at Step 1;</w:t>
      </w:r>
    </w:p>
    <w:p w14:paraId="5C8F6A1B" w14:textId="77777777" w:rsidR="00421570" w:rsidRPr="0017344A" w:rsidRDefault="00000000">
      <w:pPr>
        <w:pStyle w:val="ListBullet"/>
        <w:rPr>
          <w:rFonts w:ascii="Arial" w:hAnsi="Arial" w:cs="Arial"/>
        </w:rPr>
      </w:pPr>
      <w:r w:rsidRPr="0017344A">
        <w:rPr>
          <w:rFonts w:ascii="Arial" w:hAnsi="Arial" w:cs="Arial"/>
        </w:rPr>
        <w:t>data governance, including relevance, representativeness and examination for possible biases (Article 10), which corresponds to Step 2;</w:t>
      </w:r>
    </w:p>
    <w:p w14:paraId="04E680AD" w14:textId="77777777" w:rsidR="00421570" w:rsidRPr="0017344A" w:rsidRDefault="00000000">
      <w:pPr>
        <w:pStyle w:val="ListBullet"/>
        <w:rPr>
          <w:rFonts w:ascii="Arial" w:hAnsi="Arial" w:cs="Arial"/>
        </w:rPr>
      </w:pPr>
      <w:r w:rsidRPr="0017344A">
        <w:rPr>
          <w:rFonts w:ascii="Arial" w:hAnsi="Arial" w:cs="Arial"/>
        </w:rPr>
        <w:t>technical documentation and record-keeping (Articles 11 and 12), which corresponds to the model record in Step 3;</w:t>
      </w:r>
    </w:p>
    <w:p w14:paraId="19E331C9" w14:textId="77777777" w:rsidR="00421570" w:rsidRPr="0017344A" w:rsidRDefault="00000000">
      <w:pPr>
        <w:pStyle w:val="ListBullet"/>
        <w:rPr>
          <w:rFonts w:ascii="Arial" w:hAnsi="Arial" w:cs="Arial"/>
        </w:rPr>
      </w:pPr>
      <w:r w:rsidRPr="0017344A">
        <w:rPr>
          <w:rFonts w:ascii="Arial" w:hAnsi="Arial" w:cs="Arial"/>
        </w:rPr>
        <w:t>transparency, human oversight, and accuracy and robustness (Articles 13 to 15), which correspond to Steps 4 and 5.</w:t>
      </w:r>
    </w:p>
    <w:p w14:paraId="3BF9A3B1" w14:textId="77777777" w:rsidR="00421570" w:rsidRPr="0017344A" w:rsidRDefault="00000000">
      <w:pPr>
        <w:rPr>
          <w:rFonts w:ascii="Arial" w:hAnsi="Arial" w:cs="Arial"/>
        </w:rPr>
      </w:pPr>
      <w:r w:rsidRPr="0017344A">
        <w:rPr>
          <w:rFonts w:ascii="Arial" w:hAnsi="Arial" w:cs="Arial"/>
        </w:rPr>
        <w:t>Documentation produced according to this workflow can therefore form the basis of future AI Act technical documentation.</w:t>
      </w:r>
    </w:p>
    <w:p w14:paraId="73099590" w14:textId="77777777" w:rsidR="00421570" w:rsidRPr="0017344A" w:rsidRDefault="00000000">
      <w:pPr>
        <w:pStyle w:val="Heading2"/>
        <w:rPr>
          <w:rFonts w:ascii="Arial" w:hAnsi="Arial" w:cs="Arial"/>
        </w:rPr>
      </w:pPr>
      <w:bookmarkStart w:id="17" w:name="_Toc241574655"/>
      <w:r w:rsidRPr="0017344A">
        <w:rPr>
          <w:rFonts w:ascii="Arial" w:hAnsi="Arial" w:cs="Arial"/>
        </w:rPr>
        <w:t>3.4 Substances of human origin and assisted reproduction law</w:t>
      </w:r>
      <w:bookmarkEnd w:id="17"/>
    </w:p>
    <w:p w14:paraId="51BBB477" w14:textId="77777777" w:rsidR="00421570" w:rsidRPr="0017344A" w:rsidRDefault="00000000">
      <w:pPr>
        <w:rPr>
          <w:rFonts w:ascii="Arial" w:hAnsi="Arial" w:cs="Arial"/>
        </w:rPr>
      </w:pPr>
      <w:r w:rsidRPr="0017344A">
        <w:rPr>
          <w:rFonts w:ascii="Arial" w:hAnsi="Arial" w:cs="Arial"/>
          <w:b/>
        </w:rPr>
        <w:t>SoHO Regulation.</w:t>
      </w:r>
      <w:r w:rsidRPr="0017344A">
        <w:rPr>
          <w:rFonts w:ascii="Arial" w:hAnsi="Arial" w:cs="Arial"/>
        </w:rPr>
        <w:t xml:space="preserve"> Regulation (EU) 2024/1938 on substances of human origin [12] will replace the EU Tissues and Cells Directives from 7 August 2027 and applies to gametes and embryos. It requires SoHO entities, including ART establishments, to operate a quality management system and to obtain </w:t>
      </w:r>
      <w:r w:rsidRPr="0017344A">
        <w:rPr>
          <w:rFonts w:ascii="Arial" w:hAnsi="Arial" w:cs="Arial"/>
        </w:rPr>
        <w:lastRenderedPageBreak/>
        <w:t>authorisation for new SoHO preparations. Such an application must be supported by a benefit–risk assessment and, where appropriate, clinical outcome monitoring. Whether and how an AI-supported embryo assessment method affects this authorisation is a matter for national competent authorities. At a minimum, clinics should expect to document such tools within their quality systems. Validation evidence produced according to these guidelines will support that documentation.</w:t>
      </w:r>
    </w:p>
    <w:p w14:paraId="29071C83" w14:textId="77777777" w:rsidR="00421570" w:rsidRPr="0017344A" w:rsidRDefault="00000000">
      <w:pPr>
        <w:rPr>
          <w:rFonts w:ascii="Arial" w:hAnsi="Arial" w:cs="Arial"/>
        </w:rPr>
      </w:pPr>
      <w:r w:rsidRPr="0017344A">
        <w:rPr>
          <w:rFonts w:ascii="Arial" w:hAnsi="Arial" w:cs="Arial"/>
          <w:b/>
        </w:rPr>
        <w:t>National ART law.</w:t>
      </w:r>
      <w:r w:rsidRPr="0017344A">
        <w:rPr>
          <w:rFonts w:ascii="Arial" w:hAnsi="Arial" w:cs="Arial"/>
        </w:rPr>
        <w:t xml:space="preserve"> The use of embryos and treatment data is also governed by national legislation, which differs between NESTOR countries. Relevant laws include the Dutch Embryo Act (Embryowet), Greek Law 3305/2005 on medically assisted reproduction (with oversight by the National Authority for Medically Assisted Reproduction) and the Estonian Artificial Insemination and Embryo Protection Act. The analysis of images recorded during routine treatment does not in itself involve embryo research. However, the consent given for treatment and the permitted secondary uses of treatment data must be checked under the applicable national law at each site.</w:t>
      </w:r>
    </w:p>
    <w:p w14:paraId="10DD9AEB" w14:textId="77777777" w:rsidR="00421570" w:rsidRPr="0017344A" w:rsidRDefault="00000000">
      <w:pPr>
        <w:pStyle w:val="Heading2"/>
        <w:rPr>
          <w:rFonts w:ascii="Arial" w:hAnsi="Arial" w:cs="Arial"/>
        </w:rPr>
      </w:pPr>
      <w:bookmarkStart w:id="18" w:name="_Toc241574656"/>
      <w:r w:rsidRPr="0017344A">
        <w:rPr>
          <w:rFonts w:ascii="Arial" w:hAnsi="Arial" w:cs="Arial"/>
        </w:rPr>
        <w:t>3.5 Research ethics and patient perspectives</w:t>
      </w:r>
      <w:bookmarkEnd w:id="18"/>
    </w:p>
    <w:p w14:paraId="208CEE3C" w14:textId="77777777" w:rsidR="00421570" w:rsidRPr="0017344A" w:rsidRDefault="00000000">
      <w:pPr>
        <w:rPr>
          <w:rFonts w:ascii="Arial" w:hAnsi="Arial" w:cs="Arial"/>
        </w:rPr>
      </w:pPr>
      <w:r w:rsidRPr="0017344A">
        <w:rPr>
          <w:rFonts w:ascii="Arial" w:hAnsi="Arial" w:cs="Arial"/>
          <w:b/>
        </w:rPr>
        <w:t>Ethics review.</w:t>
      </w:r>
      <w:r w:rsidRPr="0017344A">
        <w:rPr>
          <w:rFonts w:ascii="Arial" w:hAnsi="Arial" w:cs="Arial"/>
        </w:rPr>
        <w:t xml:space="preserve"> Each site contributing data should obtain the appropriate ethics review under national rules. In the Netherlands, a medical research ethics committee determines whether a study falls under the Medical Research Involving Human Subjects Act (WMO). Retrospective studies on existing data are often outside the WMO but remain subject to institutional review and the GDPR. Greece and Estonia have their own review procedures. The revised Declaration of Helsinki (2024) [14] remains the reference for research involving identifiable human data. NESTOR’s Ethics and Gender Management Plan records the approvals obtained for project activities.</w:t>
      </w:r>
    </w:p>
    <w:p w14:paraId="599C2480" w14:textId="77777777" w:rsidR="00421570" w:rsidRPr="0017344A" w:rsidRDefault="00000000">
      <w:pPr>
        <w:rPr>
          <w:rFonts w:ascii="Arial" w:hAnsi="Arial" w:cs="Arial"/>
        </w:rPr>
      </w:pPr>
      <w:r w:rsidRPr="0017344A">
        <w:rPr>
          <w:rFonts w:ascii="Arial" w:hAnsi="Arial" w:cs="Arial"/>
          <w:b/>
        </w:rPr>
        <w:t>Responsible claims.</w:t>
      </w:r>
      <w:r w:rsidRPr="0017344A">
        <w:rPr>
          <w:rFonts w:ascii="Arial" w:hAnsi="Arial" w:cs="Arial"/>
        </w:rPr>
        <w:t xml:space="preserve"> Validation findings should be communicated with care. Patients undergoing ART are a vulnerable group, and they are exposed to commercial claims about add-ons whose benefit is unproven. Findings from a research-stage study must not be presented as evidence of clinical benefit (Section 5.5).</w:t>
      </w:r>
    </w:p>
    <w:p w14:paraId="56311EE3" w14:textId="77777777" w:rsidR="00421570" w:rsidRPr="0017344A" w:rsidRDefault="00000000">
      <w:pPr>
        <w:rPr>
          <w:rFonts w:ascii="Arial" w:hAnsi="Arial" w:cs="Arial"/>
        </w:rPr>
      </w:pPr>
      <w:r w:rsidRPr="0017344A">
        <w:rPr>
          <w:rFonts w:ascii="Arial" w:hAnsi="Arial" w:cs="Arial"/>
          <w:b/>
        </w:rPr>
        <w:t>Equity and representativeness.</w:t>
      </w:r>
      <w:r w:rsidRPr="0017344A">
        <w:rPr>
          <w:rFonts w:ascii="Arial" w:hAnsi="Arial" w:cs="Arial"/>
        </w:rPr>
        <w:t xml:space="preserve"> Methods validated only on selected populations may perform worse for others, for example for patients of advanced reproductive age, a central concern of NESTOR. Validation datasets should be described in terms of the populations they represent, and performance should be reported for relevant subgroups where numbers allow.</w:t>
      </w:r>
    </w:p>
    <w:p w14:paraId="357AC2E2" w14:textId="77777777" w:rsidR="00421570" w:rsidRPr="0017344A" w:rsidRDefault="00000000">
      <w:pPr>
        <w:rPr>
          <w:rFonts w:ascii="Arial" w:hAnsi="Arial" w:cs="Arial"/>
        </w:rPr>
      </w:pPr>
      <w:r w:rsidRPr="0017344A">
        <w:rPr>
          <w:rFonts w:ascii="Arial" w:hAnsi="Arial" w:cs="Arial"/>
          <w:b/>
        </w:rPr>
        <w:t>Patient engagement.</w:t>
      </w:r>
      <w:r w:rsidRPr="0017344A">
        <w:rPr>
          <w:rFonts w:ascii="Arial" w:hAnsi="Arial" w:cs="Arial"/>
        </w:rPr>
        <w:t xml:space="preserve"> NESTOR’s Advisory Board includes patient representation through Fertility Europe, as well as experts in privacy law and biomedical ethics. Their perspectives should inform the definition of intended use and acceptable error, and the way validation results are communicated to patients.</w:t>
      </w:r>
    </w:p>
    <w:p w14:paraId="41931877" w14:textId="77777777" w:rsidR="00421570" w:rsidRPr="0017344A" w:rsidRDefault="00000000">
      <w:pPr>
        <w:pStyle w:val="Heading2"/>
        <w:rPr>
          <w:rFonts w:ascii="Arial" w:hAnsi="Arial" w:cs="Arial"/>
        </w:rPr>
      </w:pPr>
      <w:bookmarkStart w:id="19" w:name="_Toc241574657"/>
      <w:r w:rsidRPr="0017344A">
        <w:rPr>
          <w:rFonts w:ascii="Arial" w:hAnsi="Arial" w:cs="Arial"/>
        </w:rPr>
        <w:t>3.6 Health data governance: the European Health Data Space</w:t>
      </w:r>
      <w:bookmarkEnd w:id="19"/>
    </w:p>
    <w:p w14:paraId="431E6832" w14:textId="77777777" w:rsidR="00421570" w:rsidRPr="0017344A" w:rsidRDefault="00000000">
      <w:pPr>
        <w:rPr>
          <w:rFonts w:ascii="Arial" w:hAnsi="Arial" w:cs="Arial"/>
        </w:rPr>
      </w:pPr>
      <w:r w:rsidRPr="0017344A">
        <w:rPr>
          <w:rFonts w:ascii="Arial" w:hAnsi="Arial" w:cs="Arial"/>
        </w:rPr>
        <w:t>The EHDS Regulation (EU) 2025/327 creates an EU-wide framework for the secondary use of electronic health data for research, innovation and policy. Access will be managed through national health data access bodies and secure processing environments. Most of the secondary-use rules apply from March 2029, and certain data categories, including genetic data, will follow later. The EHDS will not change the validation principles in these guidelines. However, it will offer a structured legal route to multi-country datasets, and it reinforces the model-to-data approach through its reliance on secure processing environments. Metadata and data-quality practices adopted now (Chapter 4) will ease future participation.</w:t>
      </w:r>
    </w:p>
    <w:p w14:paraId="00900D46" w14:textId="77777777" w:rsidR="00421570" w:rsidRPr="0017344A" w:rsidRDefault="00000000">
      <w:pPr>
        <w:pStyle w:val="Heading2"/>
        <w:rPr>
          <w:rFonts w:ascii="Arial" w:hAnsi="Arial" w:cs="Arial"/>
        </w:rPr>
      </w:pPr>
      <w:bookmarkStart w:id="20" w:name="_Toc241574658"/>
      <w:r w:rsidRPr="0017344A">
        <w:rPr>
          <w:rFonts w:ascii="Arial" w:hAnsi="Arial" w:cs="Arial"/>
        </w:rPr>
        <w:t>3.7 Regulatory checkpoints in the practical workflow</w:t>
      </w:r>
      <w:bookmarkEnd w:id="20"/>
    </w:p>
    <w:p w14:paraId="3159F85E" w14:textId="77777777" w:rsidR="00421570" w:rsidRPr="0017344A" w:rsidRDefault="00000000">
      <w:pPr>
        <w:rPr>
          <w:rFonts w:ascii="Arial" w:hAnsi="Arial" w:cs="Arial"/>
        </w:rPr>
      </w:pPr>
      <w:r w:rsidRPr="0017344A">
        <w:rPr>
          <w:rFonts w:ascii="Arial" w:hAnsi="Arial" w:cs="Arial"/>
        </w:rPr>
        <w:t>Table 4 translates the frameworks above into checkpoints for each stage of the practical workflow described in Chapter 5.</w:t>
      </w:r>
    </w:p>
    <w:p w14:paraId="639A01FE" w14:textId="77777777" w:rsidR="00421570" w:rsidRPr="0017344A" w:rsidRDefault="00000000">
      <w:pPr>
        <w:pStyle w:val="Caption"/>
        <w:keepNext/>
        <w:spacing w:before="160" w:after="80"/>
        <w:rPr>
          <w:rFonts w:ascii="Arial" w:hAnsi="Arial" w:cs="Arial"/>
        </w:rPr>
      </w:pPr>
      <w:r w:rsidRPr="0017344A">
        <w:rPr>
          <w:rFonts w:ascii="Arial" w:hAnsi="Arial" w:cs="Arial"/>
        </w:rPr>
        <w:lastRenderedPageBreak/>
        <w:t>Table 4. Legal, regulatory and ethical checkpoints by workflow stage</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400"/>
        <w:gridCol w:w="7200"/>
      </w:tblGrid>
      <w:tr w:rsidR="00421570" w:rsidRPr="0017344A" w14:paraId="2752099B" w14:textId="77777777">
        <w:trPr>
          <w:cantSplit/>
          <w:tblHeader/>
        </w:trPr>
        <w:tc>
          <w:tcPr>
            <w:tcW w:w="2400" w:type="dxa"/>
            <w:shd w:val="clear" w:color="auto" w:fill="EEE8F3"/>
          </w:tcPr>
          <w:p w14:paraId="264B5C6E"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Workflow stage</w:t>
            </w:r>
          </w:p>
        </w:tc>
        <w:tc>
          <w:tcPr>
            <w:tcW w:w="7200" w:type="dxa"/>
            <w:shd w:val="clear" w:color="auto" w:fill="EEE8F3"/>
          </w:tcPr>
          <w:p w14:paraId="3425C061"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Checkpoints</w:t>
            </w:r>
          </w:p>
        </w:tc>
      </w:tr>
      <w:tr w:rsidR="00421570" w:rsidRPr="0017344A" w14:paraId="59F04254" w14:textId="77777777">
        <w:trPr>
          <w:cantSplit/>
        </w:trPr>
        <w:tc>
          <w:tcPr>
            <w:tcW w:w="2400" w:type="dxa"/>
          </w:tcPr>
          <w:p w14:paraId="114733E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1. Task definition</w:t>
            </w:r>
          </w:p>
        </w:tc>
        <w:tc>
          <w:tcPr>
            <w:tcW w:w="7200" w:type="dxa"/>
          </w:tcPr>
          <w:p w14:paraId="739F38C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Write down the intended purpose, the intended user and the target population.</w:t>
            </w:r>
          </w:p>
          <w:p w14:paraId="3E51060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Assess whether the intended purpose would make the method a medical device or IVD, and whether it remains within the research exclusion.</w:t>
            </w:r>
          </w:p>
          <w:p w14:paraId="4561F49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Confirm the need for ethics review and screen for a DPIA.</w:t>
            </w:r>
          </w:p>
        </w:tc>
      </w:tr>
      <w:tr w:rsidR="00421570" w:rsidRPr="0017344A" w14:paraId="18AC8B43" w14:textId="77777777">
        <w:trPr>
          <w:cantSplit/>
        </w:trPr>
        <w:tc>
          <w:tcPr>
            <w:tcW w:w="2400" w:type="dxa"/>
          </w:tcPr>
          <w:p w14:paraId="712D80A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2. Data description</w:t>
            </w:r>
          </w:p>
        </w:tc>
        <w:tc>
          <w:tcPr>
            <w:tcW w:w="7200" w:type="dxa"/>
          </w:tcPr>
          <w:p w14:paraId="79AE903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Record the lawful basis and consent or opt-out status at each site.</w:t>
            </w:r>
          </w:p>
          <w:p w14:paraId="38DE80B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Complete a DPIA where required, and put data processing or joint-controllership agreements in place.</w:t>
            </w:r>
          </w:p>
          <w:p w14:paraId="4AFDC3E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Record where processing takes place, and apply data minimisation and pseudonymisation.</w:t>
            </w:r>
          </w:p>
          <w:p w14:paraId="045053D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Describe the representativeness of the data and known gaps (cf. AI Act Art. 10).</w:t>
            </w:r>
          </w:p>
        </w:tc>
      </w:tr>
      <w:tr w:rsidR="00421570" w:rsidRPr="0017344A" w14:paraId="3A8B10F0" w14:textId="77777777">
        <w:trPr>
          <w:cantSplit/>
        </w:trPr>
        <w:tc>
          <w:tcPr>
            <w:tcW w:w="2400" w:type="dxa"/>
          </w:tcPr>
          <w:p w14:paraId="2E67595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3. Model identification</w:t>
            </w:r>
          </w:p>
        </w:tc>
        <w:tc>
          <w:tcPr>
            <w:tcW w:w="7200" w:type="dxa"/>
          </w:tcPr>
          <w:p w14:paraId="4DDC1E5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Keep a version-controlled model record covering code, weights, configuration and input preparation (cf. IEC 62304).</w:t>
            </w:r>
          </w:p>
          <w:p w14:paraId="1084325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Record the ownership and licensing of models and data (cf. the NESTOR IP management plan).</w:t>
            </w:r>
          </w:p>
        </w:tc>
      </w:tr>
      <w:tr w:rsidR="00421570" w:rsidRPr="0017344A" w14:paraId="6E335CD6" w14:textId="77777777">
        <w:trPr>
          <w:cantSplit/>
        </w:trPr>
        <w:tc>
          <w:tcPr>
            <w:tcW w:w="2400" w:type="dxa"/>
          </w:tcPr>
          <w:p w14:paraId="041593E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4. Evaluation and visual review</w:t>
            </w:r>
          </w:p>
        </w:tc>
        <w:tc>
          <w:tcPr>
            <w:tcW w:w="7200" w:type="dxa"/>
          </w:tcPr>
          <w:p w14:paraId="4AD851D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Pre-specify acceptance and exclusion criteria.</w:t>
            </w:r>
          </w:p>
          <w:p w14:paraId="67C8C38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Document the reference standard and who produced it.</w:t>
            </w:r>
          </w:p>
          <w:p w14:paraId="1C01054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Describe the role of human review (cf. AI Act Art. 14) and record identified failure modes in a risk register (cf. ISO 14971).</w:t>
            </w:r>
          </w:p>
        </w:tc>
      </w:tr>
      <w:tr w:rsidR="00421570" w:rsidRPr="0017344A" w14:paraId="43E2A61A" w14:textId="77777777">
        <w:trPr>
          <w:cantSplit/>
        </w:trPr>
        <w:tc>
          <w:tcPr>
            <w:tcW w:w="2400" w:type="dxa"/>
          </w:tcPr>
          <w:p w14:paraId="437D6FD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5. Documentation and interpretation</w:t>
            </w:r>
          </w:p>
        </w:tc>
        <w:tc>
          <w:tcPr>
            <w:tcW w:w="7200" w:type="dxa"/>
          </w:tcPr>
          <w:p w14:paraId="3E3916F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Report according to recognised guidelines (TRIPOD+AI, CLAIM; DECIDE-AI for early clinical evaluation).</w:t>
            </w:r>
          </w:p>
          <w:p w14:paraId="2F33364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State the stage of evidence reached (Table 2) and avoid claims of clinical benefit that the evidence does not support.</w:t>
            </w:r>
          </w:p>
          <w:p w14:paraId="5AB7451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Archive records according to the data management plan.</w:t>
            </w:r>
          </w:p>
        </w:tc>
      </w:tr>
    </w:tbl>
    <w:p w14:paraId="690AFB00" w14:textId="77777777" w:rsidR="00421570" w:rsidRPr="0017344A" w:rsidRDefault="00421570">
      <w:pPr>
        <w:spacing w:after="60"/>
        <w:rPr>
          <w:rFonts w:ascii="Arial" w:hAnsi="Arial" w:cs="Arial"/>
        </w:rPr>
      </w:pPr>
    </w:p>
    <w:p w14:paraId="654C1ABF" w14:textId="77777777" w:rsidR="00421570" w:rsidRPr="0017344A" w:rsidRDefault="00000000">
      <w:pPr>
        <w:pStyle w:val="Heading1"/>
        <w:rPr>
          <w:rFonts w:ascii="Arial" w:hAnsi="Arial" w:cs="Arial"/>
        </w:rPr>
      </w:pPr>
      <w:bookmarkStart w:id="21" w:name="_Toc241574659"/>
      <w:r w:rsidRPr="0017344A">
        <w:rPr>
          <w:rFonts w:ascii="Arial" w:hAnsi="Arial" w:cs="Arial"/>
        </w:rPr>
        <w:t>4. Harmonising practices across sites and sectors</w:t>
      </w:r>
      <w:bookmarkEnd w:id="21"/>
    </w:p>
    <w:p w14:paraId="33AAF2DF" w14:textId="77777777" w:rsidR="00421570" w:rsidRPr="0017344A" w:rsidRDefault="00000000">
      <w:pPr>
        <w:pStyle w:val="Heading2"/>
        <w:rPr>
          <w:rFonts w:ascii="Arial" w:hAnsi="Arial" w:cs="Arial"/>
        </w:rPr>
      </w:pPr>
      <w:bookmarkStart w:id="22" w:name="_Toc241574660"/>
      <w:r w:rsidRPr="0017344A">
        <w:rPr>
          <w:rFonts w:ascii="Arial" w:hAnsi="Arial" w:cs="Arial"/>
        </w:rPr>
        <w:t>4.1 Why harmonisation matters</w:t>
      </w:r>
      <w:bookmarkEnd w:id="22"/>
    </w:p>
    <w:p w14:paraId="4034148D" w14:textId="77777777" w:rsidR="00421570" w:rsidRPr="0017344A" w:rsidRDefault="00000000">
      <w:pPr>
        <w:rPr>
          <w:rFonts w:ascii="Arial" w:hAnsi="Arial" w:cs="Arial"/>
        </w:rPr>
      </w:pPr>
      <w:r w:rsidRPr="0017344A">
        <w:rPr>
          <w:rFonts w:ascii="Arial" w:hAnsi="Arial" w:cs="Arial"/>
        </w:rPr>
        <w:t>Validation across several sites is only informative if the sites are measuring the same thing in comparable ways. Without harmonisation, differences in performance between sites cannot be interpreted. They may reflect genuine differences in the method’s behaviour, or merely differences in how images were acquired, how structures were annotated, or which cases were excluded. Poorly harmonised data can also make a method look better than it is: if site-specific features correlate with outcomes, a model can learn the site rather than the biology.</w:t>
      </w:r>
    </w:p>
    <w:p w14:paraId="29054043" w14:textId="77777777" w:rsidR="00421570" w:rsidRPr="0017344A" w:rsidRDefault="00000000">
      <w:pPr>
        <w:rPr>
          <w:rFonts w:ascii="Arial" w:hAnsi="Arial" w:cs="Arial"/>
        </w:rPr>
      </w:pPr>
      <w:r w:rsidRPr="0017344A">
        <w:rPr>
          <w:rFonts w:ascii="Arial" w:hAnsi="Arial" w:cs="Arial"/>
        </w:rPr>
        <w:t>For NESTOR, harmonisation also has a capacity-building purpose. Shared procedures allow partners in Estonia and Greece to contribute data and expertise to multi-centre studies on equal terms, and they give clinics a common language in which to discuss methods with technology developers. The Description of Action accordingly foresees harmonised TLM data collection protocols, harmonised data collection at AN, and clinical guidelines disseminated to ART providers for the harmonisation of clinical care practices.</w:t>
      </w:r>
    </w:p>
    <w:p w14:paraId="497F186A" w14:textId="77777777" w:rsidR="00421570" w:rsidRPr="0017344A" w:rsidRDefault="00000000">
      <w:pPr>
        <w:pStyle w:val="Heading2"/>
        <w:rPr>
          <w:rFonts w:ascii="Arial" w:hAnsi="Arial" w:cs="Arial"/>
        </w:rPr>
      </w:pPr>
      <w:bookmarkStart w:id="23" w:name="_Toc241574661"/>
      <w:r w:rsidRPr="0017344A">
        <w:rPr>
          <w:rFonts w:ascii="Arial" w:hAnsi="Arial" w:cs="Arial"/>
        </w:rPr>
        <w:t>4.2 Principles</w:t>
      </w:r>
      <w:bookmarkEnd w:id="23"/>
    </w:p>
    <w:p w14:paraId="2BD87EB0" w14:textId="77777777" w:rsidR="00421570" w:rsidRPr="0017344A" w:rsidRDefault="00000000">
      <w:pPr>
        <w:pStyle w:val="ListBullet"/>
        <w:rPr>
          <w:rFonts w:ascii="Arial" w:hAnsi="Arial" w:cs="Arial"/>
        </w:rPr>
      </w:pPr>
      <w:r w:rsidRPr="0017344A">
        <w:rPr>
          <w:rFonts w:ascii="Arial" w:hAnsi="Arial" w:cs="Arial"/>
          <w:b/>
        </w:rPr>
        <w:t>A common minimum, not uniformity.</w:t>
      </w:r>
      <w:r w:rsidRPr="0017344A">
        <w:rPr>
          <w:rFonts w:ascii="Arial" w:hAnsi="Arial" w:cs="Arial"/>
        </w:rPr>
        <w:t xml:space="preserve"> Partners do not need identical equipment or laboratory protocols. They need to agree on a minimum dataset, shared definitions and shared documentation, and to record how they differ.</w:t>
      </w:r>
    </w:p>
    <w:p w14:paraId="2B80FA29" w14:textId="77777777" w:rsidR="00421570" w:rsidRPr="0017344A" w:rsidRDefault="00000000">
      <w:pPr>
        <w:pStyle w:val="ListBullet"/>
        <w:rPr>
          <w:rFonts w:ascii="Arial" w:hAnsi="Arial" w:cs="Arial"/>
        </w:rPr>
      </w:pPr>
      <w:r w:rsidRPr="0017344A">
        <w:rPr>
          <w:rFonts w:ascii="Arial" w:hAnsi="Arial" w:cs="Arial"/>
          <w:b/>
        </w:rPr>
        <w:lastRenderedPageBreak/>
        <w:t>Shared vocabulary.</w:t>
      </w:r>
      <w:r w:rsidRPr="0017344A">
        <w:rPr>
          <w:rFonts w:ascii="Arial" w:hAnsi="Arial" w:cs="Arial"/>
        </w:rPr>
        <w:t xml:space="preserve"> Morphological and morphokinetic terms should follow the updated ESHRE/ALPHA Istanbul consensus (2025) [21], and time-lapse practice should follow the ESHRE good practice recommendations on time-lapse technology [22].</w:t>
      </w:r>
    </w:p>
    <w:p w14:paraId="0E09B0AB" w14:textId="77777777" w:rsidR="00421570" w:rsidRPr="0017344A" w:rsidRDefault="00000000">
      <w:pPr>
        <w:pStyle w:val="ListBullet"/>
        <w:rPr>
          <w:rFonts w:ascii="Arial" w:hAnsi="Arial" w:cs="Arial"/>
        </w:rPr>
      </w:pPr>
      <w:r w:rsidRPr="0017344A">
        <w:rPr>
          <w:rFonts w:ascii="Arial" w:hAnsi="Arial" w:cs="Arial"/>
          <w:b/>
        </w:rPr>
        <w:t>FAIR data.</w:t>
      </w:r>
      <w:r w:rsidRPr="0017344A">
        <w:rPr>
          <w:rFonts w:ascii="Arial" w:hAnsi="Arial" w:cs="Arial"/>
        </w:rPr>
        <w:t xml:space="preserve"> Metadata should be findable, accessible, interoperable and reusable [23], in line with the metadata standards agreed under T3.4.</w:t>
      </w:r>
    </w:p>
    <w:p w14:paraId="24CB4552" w14:textId="77777777" w:rsidR="00421570" w:rsidRPr="0017344A" w:rsidRDefault="00000000">
      <w:pPr>
        <w:pStyle w:val="ListBullet"/>
        <w:rPr>
          <w:rFonts w:ascii="Arial" w:hAnsi="Arial" w:cs="Arial"/>
        </w:rPr>
      </w:pPr>
      <w:r w:rsidRPr="0017344A">
        <w:rPr>
          <w:rFonts w:ascii="Arial" w:hAnsi="Arial" w:cs="Arial"/>
          <w:b/>
        </w:rPr>
        <w:t>Pre-specification.</w:t>
      </w:r>
      <w:r w:rsidRPr="0017344A">
        <w:rPr>
          <w:rFonts w:ascii="Arial" w:hAnsi="Arial" w:cs="Arial"/>
        </w:rPr>
        <w:t xml:space="preserve"> Criteria for quality review, exclusion and performance should be agreed before evaluation, not adjusted afterwards.</w:t>
      </w:r>
    </w:p>
    <w:p w14:paraId="252F3348" w14:textId="77777777" w:rsidR="00421570" w:rsidRPr="0017344A" w:rsidRDefault="00000000">
      <w:pPr>
        <w:pStyle w:val="ListBullet"/>
        <w:rPr>
          <w:rFonts w:ascii="Arial" w:hAnsi="Arial" w:cs="Arial"/>
        </w:rPr>
      </w:pPr>
      <w:r w:rsidRPr="0017344A">
        <w:rPr>
          <w:rFonts w:ascii="Arial" w:hAnsi="Arial" w:cs="Arial"/>
          <w:b/>
        </w:rPr>
        <w:t>Transparency about deviations.</w:t>
      </w:r>
      <w:r w:rsidRPr="0017344A">
        <w:rPr>
          <w:rFonts w:ascii="Arial" w:hAnsi="Arial" w:cs="Arial"/>
        </w:rPr>
        <w:t xml:space="preserve"> Where a site cannot follow the common minimum, the deviation and its reason are recorded.</w:t>
      </w:r>
    </w:p>
    <w:p w14:paraId="1ECF187E" w14:textId="77777777" w:rsidR="00421570" w:rsidRPr="0017344A" w:rsidRDefault="00000000">
      <w:pPr>
        <w:pStyle w:val="Heading2"/>
        <w:rPr>
          <w:rFonts w:ascii="Arial" w:hAnsi="Arial" w:cs="Arial"/>
        </w:rPr>
      </w:pPr>
      <w:bookmarkStart w:id="24" w:name="_Toc241574662"/>
      <w:r w:rsidRPr="0017344A">
        <w:rPr>
          <w:rFonts w:ascii="Arial" w:hAnsi="Arial" w:cs="Arial"/>
        </w:rPr>
        <w:t>4.3 What to harmonise</w:t>
      </w:r>
      <w:bookmarkEnd w:id="24"/>
    </w:p>
    <w:p w14:paraId="09EB4A41" w14:textId="77777777" w:rsidR="00421570" w:rsidRPr="0017344A" w:rsidRDefault="00000000">
      <w:pPr>
        <w:rPr>
          <w:rFonts w:ascii="Arial" w:hAnsi="Arial" w:cs="Arial"/>
        </w:rPr>
      </w:pPr>
      <w:r w:rsidRPr="0017344A">
        <w:rPr>
          <w:rFonts w:ascii="Arial" w:hAnsi="Arial" w:cs="Arial"/>
        </w:rPr>
        <w:t>Table 5 sets out the elements that NESTOR partners should harmonise when validating a data-driven method at more than one site. The elements are illustrated for embryo image analysis, but they apply by analogy to genomic and clinical prediction methods.</w:t>
      </w:r>
    </w:p>
    <w:p w14:paraId="228C6719" w14:textId="77777777" w:rsidR="00421570" w:rsidRPr="0017344A" w:rsidRDefault="00000000">
      <w:pPr>
        <w:pStyle w:val="Caption"/>
        <w:keepNext/>
        <w:spacing w:before="160" w:after="80"/>
        <w:rPr>
          <w:rFonts w:ascii="Arial" w:hAnsi="Arial" w:cs="Arial"/>
        </w:rPr>
      </w:pPr>
      <w:r w:rsidRPr="0017344A">
        <w:rPr>
          <w:rFonts w:ascii="Arial" w:hAnsi="Arial" w:cs="Arial"/>
        </w:rPr>
        <w:t>Table 5. Minimum harmonised practices for multi-site validation</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100"/>
        <w:gridCol w:w="4600"/>
        <w:gridCol w:w="2900"/>
      </w:tblGrid>
      <w:tr w:rsidR="00421570" w:rsidRPr="0017344A" w14:paraId="4A7304FF" w14:textId="77777777">
        <w:trPr>
          <w:cantSplit/>
          <w:tblHeader/>
        </w:trPr>
        <w:tc>
          <w:tcPr>
            <w:tcW w:w="2100" w:type="dxa"/>
            <w:shd w:val="clear" w:color="auto" w:fill="EEE8F3"/>
          </w:tcPr>
          <w:p w14:paraId="7F5BE87E"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Element</w:t>
            </w:r>
          </w:p>
        </w:tc>
        <w:tc>
          <w:tcPr>
            <w:tcW w:w="4600" w:type="dxa"/>
            <w:shd w:val="clear" w:color="auto" w:fill="EEE8F3"/>
          </w:tcPr>
          <w:p w14:paraId="03F335BE"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Harmonised minimum</w:t>
            </w:r>
          </w:p>
        </w:tc>
        <w:tc>
          <w:tcPr>
            <w:tcW w:w="2900" w:type="dxa"/>
            <w:shd w:val="clear" w:color="auto" w:fill="EEE8F3"/>
          </w:tcPr>
          <w:p w14:paraId="24617931"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Purpose</w:t>
            </w:r>
          </w:p>
        </w:tc>
      </w:tr>
      <w:tr w:rsidR="00421570" w:rsidRPr="0017344A" w14:paraId="234919FD" w14:textId="77777777">
        <w:trPr>
          <w:cantSplit/>
        </w:trPr>
        <w:tc>
          <w:tcPr>
            <w:tcW w:w="2100" w:type="dxa"/>
          </w:tcPr>
          <w:p w14:paraId="39938D5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Image acquisition metadata</w:t>
            </w:r>
          </w:p>
        </w:tc>
        <w:tc>
          <w:tcPr>
            <w:tcW w:w="4600" w:type="dxa"/>
          </w:tcPr>
          <w:p w14:paraId="6CA13EB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TLM system and software version; imaging interval; focal planes; image resolution and format; culture conditions; fertilisation method; time reference (e.g. hours post-insemination).</w:t>
            </w:r>
          </w:p>
        </w:tc>
        <w:tc>
          <w:tcPr>
            <w:tcW w:w="2900" w:type="dxa"/>
          </w:tcPr>
          <w:p w14:paraId="00F071C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Makes technical and laboratory differences between sites visible and analysable.</w:t>
            </w:r>
          </w:p>
        </w:tc>
      </w:tr>
      <w:tr w:rsidR="00421570" w:rsidRPr="0017344A" w14:paraId="1F002BDD" w14:textId="77777777">
        <w:trPr>
          <w:cantSplit/>
        </w:trPr>
        <w:tc>
          <w:tcPr>
            <w:tcW w:w="2100" w:type="dxa"/>
          </w:tcPr>
          <w:p w14:paraId="4676B1B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Annotation and terminology</w:t>
            </w:r>
          </w:p>
        </w:tc>
        <w:tc>
          <w:tcPr>
            <w:tcW w:w="4600" w:type="dxa"/>
          </w:tcPr>
          <w:p w14:paraId="528C7E4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Written annotation protocol with reference examples; terminology following the Istanbul consensus update; training of annotators; double annotation of a subset.</w:t>
            </w:r>
          </w:p>
        </w:tc>
        <w:tc>
          <w:tcPr>
            <w:tcW w:w="2900" w:type="dxa"/>
          </w:tcPr>
          <w:p w14:paraId="72D636C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Ensures that the reference standard means the same at each site; quantifies inter-observer agreement.</w:t>
            </w:r>
          </w:p>
        </w:tc>
      </w:tr>
      <w:tr w:rsidR="00421570" w:rsidRPr="0017344A" w14:paraId="201CF196" w14:textId="77777777">
        <w:trPr>
          <w:cantSplit/>
        </w:trPr>
        <w:tc>
          <w:tcPr>
            <w:tcW w:w="2100" w:type="dxa"/>
          </w:tcPr>
          <w:p w14:paraId="649F805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dictionary and identifiers</w:t>
            </w:r>
          </w:p>
        </w:tc>
        <w:tc>
          <w:tcPr>
            <w:tcW w:w="4600" w:type="dxa"/>
          </w:tcPr>
          <w:p w14:paraId="560B9F9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Common variable names, units and codes; pseudonymous identifiers at embryo, cycle and patient level; linking keys held only at the originating site.</w:t>
            </w:r>
          </w:p>
        </w:tc>
        <w:tc>
          <w:tcPr>
            <w:tcW w:w="2900" w:type="dxa"/>
          </w:tcPr>
          <w:p w14:paraId="16F7163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Enables pooling or federated analysis without exposing identities.</w:t>
            </w:r>
          </w:p>
        </w:tc>
      </w:tr>
      <w:tr w:rsidR="00421570" w:rsidRPr="0017344A" w14:paraId="680D1A68" w14:textId="77777777">
        <w:trPr>
          <w:cantSplit/>
        </w:trPr>
        <w:tc>
          <w:tcPr>
            <w:tcW w:w="2100" w:type="dxa"/>
          </w:tcPr>
          <w:p w14:paraId="116CCFA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Dataset partitioning</w:t>
            </w:r>
          </w:p>
        </w:tc>
        <w:tc>
          <w:tcPr>
            <w:tcW w:w="4600" w:type="dxa"/>
          </w:tcPr>
          <w:p w14:paraId="1666EA1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Splits made at patient or cycle level; at least one site held out entirely for external validation.</w:t>
            </w:r>
          </w:p>
        </w:tc>
        <w:tc>
          <w:tcPr>
            <w:tcW w:w="2900" w:type="dxa"/>
          </w:tcPr>
          <w:p w14:paraId="052E9B6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Prevents leakage between training and evaluation data; tests generalisation to new sites.</w:t>
            </w:r>
          </w:p>
        </w:tc>
      </w:tr>
      <w:tr w:rsidR="00421570" w:rsidRPr="0017344A" w14:paraId="76747A99" w14:textId="77777777">
        <w:trPr>
          <w:cantSplit/>
        </w:trPr>
        <w:tc>
          <w:tcPr>
            <w:tcW w:w="2100" w:type="dxa"/>
          </w:tcPr>
          <w:p w14:paraId="59BAED0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Model record</w:t>
            </w:r>
          </w:p>
        </w:tc>
        <w:tc>
          <w:tcPr>
            <w:tcW w:w="4600" w:type="dxa"/>
          </w:tcPr>
          <w:p w14:paraId="73234EC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Model version and weights checksum; configuration; input preparation; code version; software environment.</w:t>
            </w:r>
          </w:p>
        </w:tc>
        <w:tc>
          <w:tcPr>
            <w:tcW w:w="2900" w:type="dxa"/>
          </w:tcPr>
          <w:p w14:paraId="2C91F51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Guarantees that each site evaluates the same method.</w:t>
            </w:r>
          </w:p>
        </w:tc>
      </w:tr>
      <w:tr w:rsidR="00421570" w:rsidRPr="0017344A" w14:paraId="40572400" w14:textId="77777777">
        <w:trPr>
          <w:cantSplit/>
        </w:trPr>
        <w:tc>
          <w:tcPr>
            <w:tcW w:w="2100" w:type="dxa"/>
          </w:tcPr>
          <w:p w14:paraId="6D903A7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 review</w:t>
            </w:r>
          </w:p>
        </w:tc>
        <w:tc>
          <w:tcPr>
            <w:tcW w:w="4600" w:type="dxa"/>
          </w:tcPr>
          <w:p w14:paraId="511FBCD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Common frame-level and embryo-level review criteria; numerical thresholds where possible; coded exclusion reasons; second reviewer for borderline cases.</w:t>
            </w:r>
          </w:p>
        </w:tc>
        <w:tc>
          <w:tcPr>
            <w:tcW w:w="2900" w:type="dxa"/>
          </w:tcPr>
          <w:p w14:paraId="499DA88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Makes exclusions comparable and reproducible across sites.</w:t>
            </w:r>
          </w:p>
        </w:tc>
      </w:tr>
      <w:tr w:rsidR="00421570" w:rsidRPr="0017344A" w14:paraId="6701BD42" w14:textId="77777777">
        <w:trPr>
          <w:cantSplit/>
        </w:trPr>
        <w:tc>
          <w:tcPr>
            <w:tcW w:w="2100" w:type="dxa"/>
          </w:tcPr>
          <w:p w14:paraId="6A0CEF7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Performance measures</w:t>
            </w:r>
          </w:p>
        </w:tc>
        <w:tc>
          <w:tcPr>
            <w:tcW w:w="4600" w:type="dxa"/>
          </w:tcPr>
          <w:p w14:paraId="0D4C5FF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Agreed measures for each task (e.g. overlap measures for segmentation; discrimination and calibration for prediction); defined unit of analysis; confidence intervals; subgroup results.</w:t>
            </w:r>
          </w:p>
        </w:tc>
        <w:tc>
          <w:tcPr>
            <w:tcW w:w="2900" w:type="dxa"/>
          </w:tcPr>
          <w:p w14:paraId="46091F4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Allows results to be compared and combined.</w:t>
            </w:r>
          </w:p>
        </w:tc>
      </w:tr>
      <w:tr w:rsidR="00421570" w:rsidRPr="0017344A" w14:paraId="583DE55A" w14:textId="77777777">
        <w:trPr>
          <w:cantSplit/>
        </w:trPr>
        <w:tc>
          <w:tcPr>
            <w:tcW w:w="2100" w:type="dxa"/>
          </w:tcPr>
          <w:p w14:paraId="48C67E5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Reporting</w:t>
            </w:r>
          </w:p>
        </w:tc>
        <w:tc>
          <w:tcPr>
            <w:tcW w:w="4600" w:type="dxa"/>
          </w:tcPr>
          <w:p w14:paraId="01E9C8F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TRIPOD+AI [24] or CLAIM [25] for model studies; DECIDE-AI [26] for early clinical evaluation.</w:t>
            </w:r>
          </w:p>
        </w:tc>
        <w:tc>
          <w:tcPr>
            <w:tcW w:w="2900" w:type="dxa"/>
          </w:tcPr>
          <w:p w14:paraId="00D075A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Ensures complete and comparable reporting.</w:t>
            </w:r>
          </w:p>
        </w:tc>
      </w:tr>
      <w:tr w:rsidR="00421570" w:rsidRPr="0017344A" w14:paraId="0E382185" w14:textId="77777777">
        <w:trPr>
          <w:cantSplit/>
        </w:trPr>
        <w:tc>
          <w:tcPr>
            <w:tcW w:w="2100" w:type="dxa"/>
          </w:tcPr>
          <w:p w14:paraId="5994973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Legal and ethics documentation</w:t>
            </w:r>
          </w:p>
        </w:tc>
        <w:tc>
          <w:tcPr>
            <w:tcW w:w="4600" w:type="dxa"/>
          </w:tcPr>
          <w:p w14:paraId="3478EFF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Ethics approval per site; lawful basis; DPIA; data processing or joint-controllership agreements; record of processing location.</w:t>
            </w:r>
          </w:p>
        </w:tc>
        <w:tc>
          <w:tcPr>
            <w:tcW w:w="2900" w:type="dxa"/>
          </w:tcPr>
          <w:p w14:paraId="1E99D2C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Demonstrates lawful processing in each jurisdiction.</w:t>
            </w:r>
          </w:p>
        </w:tc>
      </w:tr>
      <w:tr w:rsidR="00421570" w:rsidRPr="0017344A" w14:paraId="4313091B" w14:textId="77777777">
        <w:trPr>
          <w:cantSplit/>
        </w:trPr>
        <w:tc>
          <w:tcPr>
            <w:tcW w:w="2100" w:type="dxa"/>
          </w:tcPr>
          <w:p w14:paraId="1A6A9D2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Roles and competence</w:t>
            </w:r>
          </w:p>
        </w:tc>
        <w:tc>
          <w:tcPr>
            <w:tcW w:w="4600" w:type="dxa"/>
          </w:tcPr>
          <w:p w14:paraId="071B664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Named responsible persons for data, analysis and review at each site; training records.</w:t>
            </w:r>
          </w:p>
        </w:tc>
        <w:tc>
          <w:tcPr>
            <w:tcW w:w="2900" w:type="dxa"/>
          </w:tcPr>
          <w:p w14:paraId="412EFFA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Supports accountability and quality management.</w:t>
            </w:r>
          </w:p>
        </w:tc>
      </w:tr>
    </w:tbl>
    <w:p w14:paraId="4C511D4F" w14:textId="77777777" w:rsidR="00421570" w:rsidRPr="0017344A" w:rsidRDefault="00421570">
      <w:pPr>
        <w:spacing w:after="60"/>
        <w:rPr>
          <w:rFonts w:ascii="Arial" w:hAnsi="Arial" w:cs="Arial"/>
        </w:rPr>
      </w:pPr>
    </w:p>
    <w:p w14:paraId="5EDE4AFF" w14:textId="77777777" w:rsidR="00421570" w:rsidRPr="0017344A" w:rsidRDefault="00000000">
      <w:pPr>
        <w:pStyle w:val="Heading2"/>
        <w:rPr>
          <w:rFonts w:ascii="Arial" w:hAnsi="Arial" w:cs="Arial"/>
        </w:rPr>
      </w:pPr>
      <w:bookmarkStart w:id="25" w:name="_Toc241574663"/>
      <w:r w:rsidRPr="0017344A">
        <w:rPr>
          <w:rFonts w:ascii="Arial" w:hAnsi="Arial" w:cs="Arial"/>
        </w:rPr>
        <w:lastRenderedPageBreak/>
        <w:t>4.4 Organisational models for multi-site evaluation</w:t>
      </w:r>
      <w:bookmarkEnd w:id="25"/>
    </w:p>
    <w:p w14:paraId="10EFF6AD" w14:textId="77777777" w:rsidR="00421570" w:rsidRPr="0017344A" w:rsidRDefault="00000000">
      <w:pPr>
        <w:keepNext/>
        <w:rPr>
          <w:rFonts w:ascii="Arial" w:hAnsi="Arial" w:cs="Arial"/>
        </w:rPr>
      </w:pPr>
      <w:r w:rsidRPr="0017344A">
        <w:rPr>
          <w:rFonts w:ascii="Arial" w:hAnsi="Arial" w:cs="Arial"/>
        </w:rPr>
        <w:t>Three models can be used to evaluate a method across sites:</w:t>
      </w:r>
    </w:p>
    <w:p w14:paraId="60D6FCC0" w14:textId="77777777" w:rsidR="00421570" w:rsidRPr="0017344A" w:rsidRDefault="00000000">
      <w:pPr>
        <w:pStyle w:val="ListBullet"/>
        <w:rPr>
          <w:rFonts w:ascii="Arial" w:hAnsi="Arial" w:cs="Arial"/>
        </w:rPr>
      </w:pPr>
      <w:r w:rsidRPr="0017344A">
        <w:rPr>
          <w:rFonts w:ascii="Arial" w:hAnsi="Arial" w:cs="Arial"/>
          <w:b/>
        </w:rPr>
        <w:t>Centralised pooling.</w:t>
      </w:r>
      <w:r w:rsidRPr="0017344A">
        <w:rPr>
          <w:rFonts w:ascii="Arial" w:hAnsi="Arial" w:cs="Arial"/>
        </w:rPr>
        <w:t xml:space="preserve"> Data from all sites are transferred to one location. This is the simplest model analytically, but it requires legal agreements in every jurisdiction and exposes the most data to transfer risk.</w:t>
      </w:r>
    </w:p>
    <w:p w14:paraId="32AB2A8B" w14:textId="77777777" w:rsidR="00421570" w:rsidRPr="0017344A" w:rsidRDefault="00000000">
      <w:pPr>
        <w:pStyle w:val="ListBullet"/>
        <w:rPr>
          <w:rFonts w:ascii="Arial" w:hAnsi="Arial" w:cs="Arial"/>
        </w:rPr>
      </w:pPr>
      <w:r w:rsidRPr="0017344A">
        <w:rPr>
          <w:rFonts w:ascii="Arial" w:hAnsi="Arial" w:cs="Arial"/>
          <w:b/>
        </w:rPr>
        <w:t>Federated, model-to-data evaluation.</w:t>
      </w:r>
      <w:r w:rsidRPr="0017344A">
        <w:rPr>
          <w:rFonts w:ascii="Arial" w:hAnsi="Arial" w:cs="Arial"/>
        </w:rPr>
        <w:t xml:space="preserve"> The model and analysis scripts travel to each site. Evaluation runs within each institution’s approved environment, and only aggregate results, such as performance measures and exclusion counts, leave the site. This is the approach used in the NESTOR embryo-analysis work at MUMC+.</w:t>
      </w:r>
    </w:p>
    <w:p w14:paraId="6B8BD356" w14:textId="77777777" w:rsidR="00421570" w:rsidRPr="0017344A" w:rsidRDefault="00000000">
      <w:pPr>
        <w:pStyle w:val="ListBullet"/>
        <w:rPr>
          <w:rFonts w:ascii="Arial" w:hAnsi="Arial" w:cs="Arial"/>
        </w:rPr>
      </w:pPr>
      <w:r w:rsidRPr="0017344A">
        <w:rPr>
          <w:rFonts w:ascii="Arial" w:hAnsi="Arial" w:cs="Arial"/>
          <w:b/>
        </w:rPr>
        <w:t>Hybrid.</w:t>
      </w:r>
      <w:r w:rsidRPr="0017344A">
        <w:rPr>
          <w:rFonts w:ascii="Arial" w:hAnsi="Arial" w:cs="Arial"/>
        </w:rPr>
        <w:t xml:space="preserve"> Core evaluation is federated, and a limited, anonymised or strictly pseudonymised subset is shared centrally for tasks such as joint annotation review.</w:t>
      </w:r>
    </w:p>
    <w:p w14:paraId="6E3776F6" w14:textId="77777777" w:rsidR="00421570" w:rsidRPr="0017344A" w:rsidRDefault="00000000">
      <w:pPr>
        <w:rPr>
          <w:rFonts w:ascii="Arial" w:hAnsi="Arial" w:cs="Arial"/>
        </w:rPr>
      </w:pPr>
      <w:r w:rsidRPr="0017344A">
        <w:rPr>
          <w:rFonts w:ascii="Arial" w:hAnsi="Arial" w:cs="Arial"/>
        </w:rPr>
        <w:t>For cross-border validation in NESTOR, the federated model is recommended as the default. It aligns with the GDPR principle of data minimisation, it avoids the most difficult questions of international data transfer and national divergence, and it anticipates the secure processing environments of the EHDS. It does, however, place greater demands on harmonisation. Each site must run the same model version, with the same input preparation and review criteria, and must report results in a common format. The elements in Table 5 are designed for exactly this purpose. Aggregate outputs should be checked to ensure that small counts cannot identify individuals.</w:t>
      </w:r>
    </w:p>
    <w:p w14:paraId="60DBAAC9" w14:textId="77777777" w:rsidR="00421570" w:rsidRPr="0017344A" w:rsidRDefault="00000000">
      <w:pPr>
        <w:pStyle w:val="Heading2"/>
        <w:rPr>
          <w:rFonts w:ascii="Arial" w:hAnsi="Arial" w:cs="Arial"/>
        </w:rPr>
      </w:pPr>
      <w:bookmarkStart w:id="26" w:name="_Toc241574664"/>
      <w:r w:rsidRPr="0017344A">
        <w:rPr>
          <w:rFonts w:ascii="Arial" w:hAnsi="Arial" w:cs="Arial"/>
        </w:rPr>
        <w:t>4.5 Building harmonisation into the partnership</w:t>
      </w:r>
      <w:bookmarkEnd w:id="26"/>
    </w:p>
    <w:p w14:paraId="6633BEC1" w14:textId="77777777" w:rsidR="00421570" w:rsidRPr="0017344A" w:rsidRDefault="00000000">
      <w:pPr>
        <w:keepNext/>
        <w:rPr>
          <w:rFonts w:ascii="Arial" w:hAnsi="Arial" w:cs="Arial"/>
        </w:rPr>
      </w:pPr>
      <w:r w:rsidRPr="0017344A">
        <w:rPr>
          <w:rFonts w:ascii="Arial" w:hAnsi="Arial" w:cs="Arial"/>
        </w:rPr>
        <w:t>Harmonisation depends on people as much as on documents. NESTOR secondments give researchers first-hand experience of partner environments, and that experience is the most effective way to align practice. The following measures are recommended to sustain harmonisation beyond individual secondments:</w:t>
      </w:r>
    </w:p>
    <w:p w14:paraId="6A29D4DE" w14:textId="77777777" w:rsidR="00421570" w:rsidRPr="0017344A" w:rsidRDefault="00000000">
      <w:pPr>
        <w:pStyle w:val="ListBullet"/>
        <w:rPr>
          <w:rFonts w:ascii="Arial" w:hAnsi="Arial" w:cs="Arial"/>
        </w:rPr>
      </w:pPr>
      <w:r w:rsidRPr="0017344A">
        <w:rPr>
          <w:rFonts w:ascii="Arial" w:hAnsi="Arial" w:cs="Arial"/>
        </w:rPr>
        <w:t>maintain the harmonised elements in Table 5 as a shared, version-controlled SOP set, linked from the open-access website;</w:t>
      </w:r>
    </w:p>
    <w:p w14:paraId="61D831EC" w14:textId="77777777" w:rsidR="00421570" w:rsidRPr="0017344A" w:rsidRDefault="00000000">
      <w:pPr>
        <w:pStyle w:val="ListBullet"/>
        <w:rPr>
          <w:rFonts w:ascii="Arial" w:hAnsi="Arial" w:cs="Arial"/>
        </w:rPr>
      </w:pPr>
      <w:r w:rsidRPr="0017344A">
        <w:rPr>
          <w:rFonts w:ascii="Arial" w:hAnsi="Arial" w:cs="Arial"/>
        </w:rPr>
        <w:t>hold a short calibration exercise, with joint review of a common image set, before each new multi-site study and after major protocol or equipment changes;</w:t>
      </w:r>
    </w:p>
    <w:p w14:paraId="3E000C71" w14:textId="77777777" w:rsidR="00421570" w:rsidRPr="0017344A" w:rsidRDefault="00000000">
      <w:pPr>
        <w:pStyle w:val="ListBullet"/>
        <w:rPr>
          <w:rFonts w:ascii="Arial" w:hAnsi="Arial" w:cs="Arial"/>
        </w:rPr>
      </w:pPr>
      <w:r w:rsidRPr="0017344A">
        <w:rPr>
          <w:rFonts w:ascii="Arial" w:hAnsi="Arial" w:cs="Arial"/>
        </w:rPr>
        <w:t>designate a contact person for data, analysis and review at each participating site;</w:t>
      </w:r>
    </w:p>
    <w:p w14:paraId="22EA1F7F" w14:textId="77777777" w:rsidR="00421570" w:rsidRPr="0017344A" w:rsidRDefault="00000000">
      <w:pPr>
        <w:pStyle w:val="ListBullet"/>
        <w:rPr>
          <w:rFonts w:ascii="Arial" w:hAnsi="Arial" w:cs="Arial"/>
        </w:rPr>
      </w:pPr>
      <w:r w:rsidRPr="0017344A">
        <w:rPr>
          <w:rFonts w:ascii="Arial" w:hAnsi="Arial" w:cs="Arial"/>
        </w:rPr>
        <w:t>use the Advisory Board to review the legal and ethical documentation set and the communication of results to patients;</w:t>
      </w:r>
    </w:p>
    <w:p w14:paraId="0AC719D1" w14:textId="77777777" w:rsidR="00421570" w:rsidRPr="0017344A" w:rsidRDefault="00000000">
      <w:pPr>
        <w:pStyle w:val="ListBullet"/>
        <w:rPr>
          <w:rFonts w:ascii="Arial" w:hAnsi="Arial" w:cs="Arial"/>
        </w:rPr>
      </w:pPr>
      <w:r w:rsidRPr="0017344A">
        <w:rPr>
          <w:rFonts w:ascii="Arial" w:hAnsi="Arial" w:cs="Arial"/>
        </w:rPr>
        <w:t>record lessons learned from each validation study and feed them back into the guidelines.</w:t>
      </w:r>
    </w:p>
    <w:p w14:paraId="13360FC4" w14:textId="77777777" w:rsidR="00421570" w:rsidRPr="0017344A" w:rsidRDefault="00000000">
      <w:pPr>
        <w:pStyle w:val="Heading1"/>
        <w:rPr>
          <w:rFonts w:ascii="Arial" w:hAnsi="Arial" w:cs="Arial"/>
        </w:rPr>
      </w:pPr>
      <w:bookmarkStart w:id="27" w:name="_Toc241574665"/>
      <w:r w:rsidRPr="0017344A">
        <w:rPr>
          <w:rFonts w:ascii="Arial" w:hAnsi="Arial" w:cs="Arial"/>
        </w:rPr>
        <w:t>5. Practical workflow</w:t>
      </w:r>
      <w:bookmarkEnd w:id="27"/>
    </w:p>
    <w:p w14:paraId="1C078575" w14:textId="77777777" w:rsidR="00421570" w:rsidRPr="0017344A" w:rsidRDefault="00000000">
      <w:pPr>
        <w:rPr>
          <w:rFonts w:ascii="Arial" w:hAnsi="Arial" w:cs="Arial"/>
        </w:rPr>
      </w:pPr>
      <w:r w:rsidRPr="0017344A">
        <w:rPr>
          <w:rFonts w:ascii="Arial" w:hAnsi="Arial" w:cs="Arial"/>
        </w:rPr>
        <w:t>Evaluation of a data-driven method involves a defined research question, a documented dataset and an identifiable model. The workflow below organises these elements into five stages, from the definition of the task to the interpretation of findings. Each stage describes its purpose, the information involved and its contribution to the overall analysis. For each stage, a short note sets out the additional considerations that apply when the work spans several sites or moves towards clinical use.</w:t>
      </w:r>
    </w:p>
    <w:p w14:paraId="67979645" w14:textId="77777777" w:rsidR="00421570" w:rsidRPr="0017344A" w:rsidRDefault="00000000">
      <w:pPr>
        <w:rPr>
          <w:rFonts w:ascii="Arial" w:hAnsi="Arial" w:cs="Arial"/>
        </w:rPr>
      </w:pPr>
      <w:r w:rsidRPr="0017344A">
        <w:rPr>
          <w:rFonts w:ascii="Arial" w:hAnsi="Arial" w:cs="Arial"/>
        </w:rPr>
        <w:t xml:space="preserve">The workflow provides a general framework for organising method evaluation. The data, performance measures and criteria for an acceptable result depend on the task being studied. A worked application is presented in the </w:t>
      </w:r>
      <w:hyperlink r:id="rId13">
        <w:r w:rsidR="00421570" w:rsidRPr="0017344A">
          <w:rPr>
            <w:rFonts w:ascii="Arial" w:hAnsi="Arial" w:cs="Arial"/>
            <w:color w:val="503078"/>
            <w:u w:val="single"/>
          </w:rPr>
          <w:t>embryo image-analysis example</w:t>
        </w:r>
      </w:hyperlink>
      <w:r w:rsidRPr="0017344A">
        <w:rPr>
          <w:rFonts w:ascii="Arial" w:hAnsi="Arial" w:cs="Arial"/>
        </w:rPr>
        <w:t xml:space="preserve"> (Chapter 6), using the same five stages.</w:t>
      </w:r>
    </w:p>
    <w:p w14:paraId="3D6CBAD2" w14:textId="77777777" w:rsidR="00421570" w:rsidRPr="0017344A" w:rsidRDefault="00000000">
      <w:pPr>
        <w:pStyle w:val="Caption"/>
        <w:keepNext/>
        <w:spacing w:before="160" w:after="80"/>
        <w:rPr>
          <w:rFonts w:ascii="Arial" w:hAnsi="Arial" w:cs="Arial"/>
        </w:rPr>
      </w:pPr>
      <w:r w:rsidRPr="0017344A">
        <w:rPr>
          <w:rFonts w:ascii="Arial" w:hAnsi="Arial" w:cs="Arial"/>
        </w:rPr>
        <w:lastRenderedPageBreak/>
        <w:t>Table 6. Organising the evaluation</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1900"/>
        <w:gridCol w:w="2700"/>
        <w:gridCol w:w="2400"/>
        <w:gridCol w:w="2600"/>
      </w:tblGrid>
      <w:tr w:rsidR="00421570" w:rsidRPr="0017344A" w14:paraId="4C9FCFE9" w14:textId="77777777">
        <w:trPr>
          <w:cantSplit/>
          <w:tblHeader/>
        </w:trPr>
        <w:tc>
          <w:tcPr>
            <w:tcW w:w="1900" w:type="dxa"/>
            <w:shd w:val="clear" w:color="auto" w:fill="EEE8F3"/>
          </w:tcPr>
          <w:p w14:paraId="0F47D765"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Step</w:t>
            </w:r>
          </w:p>
        </w:tc>
        <w:tc>
          <w:tcPr>
            <w:tcW w:w="2700" w:type="dxa"/>
            <w:shd w:val="clear" w:color="auto" w:fill="EEE8F3"/>
          </w:tcPr>
          <w:p w14:paraId="521EEDA5"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Description</w:t>
            </w:r>
          </w:p>
        </w:tc>
        <w:tc>
          <w:tcPr>
            <w:tcW w:w="2400" w:type="dxa"/>
            <w:shd w:val="clear" w:color="auto" w:fill="EEE8F3"/>
          </w:tcPr>
          <w:p w14:paraId="078FB660"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Documentation</w:t>
            </w:r>
          </w:p>
        </w:tc>
        <w:tc>
          <w:tcPr>
            <w:tcW w:w="2600" w:type="dxa"/>
            <w:shd w:val="clear" w:color="auto" w:fill="EEE8F3"/>
          </w:tcPr>
          <w:p w14:paraId="2F5435C7"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Key checkpoints</w:t>
            </w:r>
          </w:p>
        </w:tc>
      </w:tr>
      <w:tr w:rsidR="00421570" w:rsidRPr="0017344A" w14:paraId="42E187F8" w14:textId="77777777">
        <w:trPr>
          <w:cantSplit/>
        </w:trPr>
        <w:tc>
          <w:tcPr>
            <w:tcW w:w="1900" w:type="dxa"/>
          </w:tcPr>
          <w:p w14:paraId="29F7F57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1. Task definition</w:t>
            </w:r>
          </w:p>
        </w:tc>
        <w:tc>
          <w:tcPr>
            <w:tcW w:w="2700" w:type="dxa"/>
          </w:tcPr>
          <w:p w14:paraId="2890853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Definition of the research question, intended use and expected outputs.</w:t>
            </w:r>
          </w:p>
        </w:tc>
        <w:tc>
          <w:tcPr>
            <w:tcW w:w="2400" w:type="dxa"/>
          </w:tcPr>
          <w:p w14:paraId="4B533E2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Scope of the analysis and responsibilities for review.</w:t>
            </w:r>
          </w:p>
        </w:tc>
        <w:tc>
          <w:tcPr>
            <w:tcW w:w="2600" w:type="dxa"/>
          </w:tcPr>
          <w:p w14:paraId="53857B8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Intended purpose; regulatory qualification; ethics and DPIA screening.</w:t>
            </w:r>
          </w:p>
        </w:tc>
      </w:tr>
      <w:tr w:rsidR="00421570" w:rsidRPr="0017344A" w14:paraId="7A493B62" w14:textId="77777777">
        <w:trPr>
          <w:cantSplit/>
        </w:trPr>
        <w:tc>
          <w:tcPr>
            <w:tcW w:w="1900" w:type="dxa"/>
          </w:tcPr>
          <w:p w14:paraId="612A145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2. Data description</w:t>
            </w:r>
          </w:p>
        </w:tc>
        <w:tc>
          <w:tcPr>
            <w:tcW w:w="2700" w:type="dxa"/>
          </w:tcPr>
          <w:p w14:paraId="265AAF3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Description of data sources, reference information and the separation of training and evaluation data.</w:t>
            </w:r>
          </w:p>
        </w:tc>
        <w:tc>
          <w:tcPr>
            <w:tcW w:w="2400" w:type="dxa"/>
          </w:tcPr>
          <w:p w14:paraId="7FFF81A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Dataset description, preparation methods and selection records.</w:t>
            </w:r>
          </w:p>
        </w:tc>
        <w:tc>
          <w:tcPr>
            <w:tcW w:w="2600" w:type="dxa"/>
          </w:tcPr>
          <w:p w14:paraId="081DCCD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Lawful basis per site; agreements; processing location; representativeness; harmonised metadata.</w:t>
            </w:r>
          </w:p>
        </w:tc>
      </w:tr>
      <w:tr w:rsidR="00421570" w:rsidRPr="0017344A" w14:paraId="4374AA03" w14:textId="77777777">
        <w:trPr>
          <w:cantSplit/>
        </w:trPr>
        <w:tc>
          <w:tcPr>
            <w:tcW w:w="1900" w:type="dxa"/>
          </w:tcPr>
          <w:p w14:paraId="66781D8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3. Model identification</w:t>
            </w:r>
          </w:p>
        </w:tc>
        <w:tc>
          <w:tcPr>
            <w:tcW w:w="2700" w:type="dxa"/>
          </w:tcPr>
          <w:p w14:paraId="2911B8D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Identification of the model version, configuration and meaning of its outputs.</w:t>
            </w:r>
          </w:p>
        </w:tc>
        <w:tc>
          <w:tcPr>
            <w:tcW w:w="2400" w:type="dxa"/>
          </w:tcPr>
          <w:p w14:paraId="27ED8A3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Model record and analysis settings.</w:t>
            </w:r>
          </w:p>
        </w:tc>
        <w:tc>
          <w:tcPr>
            <w:tcW w:w="2600" w:type="dxa"/>
          </w:tcPr>
          <w:p w14:paraId="5EDC45F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Version control; same model at every site; IP and licensing.</w:t>
            </w:r>
          </w:p>
        </w:tc>
      </w:tr>
      <w:tr w:rsidR="00421570" w:rsidRPr="0017344A" w14:paraId="0017BA90" w14:textId="77777777">
        <w:trPr>
          <w:cantSplit/>
        </w:trPr>
        <w:tc>
          <w:tcPr>
            <w:tcW w:w="1900" w:type="dxa"/>
          </w:tcPr>
          <w:p w14:paraId="6DAAFF0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4. Evaluation and visual review</w:t>
            </w:r>
          </w:p>
        </w:tc>
        <w:tc>
          <w:tcPr>
            <w:tcW w:w="2700" w:type="dxa"/>
          </w:tcPr>
          <w:p w14:paraId="54072D8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Assessment of performance and review of outputs before further analysis.</w:t>
            </w:r>
          </w:p>
        </w:tc>
        <w:tc>
          <w:tcPr>
            <w:tcW w:w="2400" w:type="dxa"/>
          </w:tcPr>
          <w:p w14:paraId="326B4B1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Evaluation results, review decisions and exclusion records.</w:t>
            </w:r>
          </w:p>
        </w:tc>
        <w:tc>
          <w:tcPr>
            <w:tcW w:w="2600" w:type="dxa"/>
          </w:tcPr>
          <w:p w14:paraId="592BCB0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Pre-specified criteria; reference standard; human oversight; risk register.</w:t>
            </w:r>
          </w:p>
        </w:tc>
      </w:tr>
      <w:tr w:rsidR="00421570" w:rsidRPr="0017344A" w14:paraId="6A653C0B" w14:textId="77777777">
        <w:trPr>
          <w:cantSplit/>
        </w:trPr>
        <w:tc>
          <w:tcPr>
            <w:tcW w:w="1900" w:type="dxa"/>
          </w:tcPr>
          <w:p w14:paraId="295CC79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5. Documentation and interpretation</w:t>
            </w:r>
          </w:p>
        </w:tc>
        <w:tc>
          <w:tcPr>
            <w:tcW w:w="2700" w:type="dxa"/>
          </w:tcPr>
          <w:p w14:paraId="67616B7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Presentation of findings in relation to the research question and the limits of the analysis.</w:t>
            </w:r>
          </w:p>
        </w:tc>
        <w:tc>
          <w:tcPr>
            <w:tcW w:w="2400" w:type="dxa"/>
          </w:tcPr>
          <w:p w14:paraId="1F6538A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Results, supporting observations and further evaluation needs.</w:t>
            </w:r>
          </w:p>
        </w:tc>
        <w:tc>
          <w:tcPr>
            <w:tcW w:w="2600" w:type="dxa"/>
          </w:tcPr>
          <w:p w14:paraId="093C53B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Reporting guidelines; stage of evidence; responsible claims.</w:t>
            </w:r>
          </w:p>
        </w:tc>
      </w:tr>
    </w:tbl>
    <w:p w14:paraId="48BD6FA7" w14:textId="77777777" w:rsidR="00421570" w:rsidRPr="0017344A" w:rsidRDefault="00421570">
      <w:pPr>
        <w:spacing w:after="60"/>
        <w:rPr>
          <w:rFonts w:ascii="Arial" w:hAnsi="Arial" w:cs="Arial"/>
        </w:rPr>
      </w:pPr>
    </w:p>
    <w:p w14:paraId="26712499" w14:textId="77777777" w:rsidR="00421570" w:rsidRPr="0017344A" w:rsidRDefault="00000000">
      <w:pPr>
        <w:pStyle w:val="Heading2"/>
        <w:rPr>
          <w:rFonts w:ascii="Arial" w:hAnsi="Arial" w:cs="Arial"/>
        </w:rPr>
      </w:pPr>
      <w:bookmarkStart w:id="28" w:name="_Toc241574666"/>
      <w:r w:rsidRPr="0017344A">
        <w:rPr>
          <w:rFonts w:ascii="Arial" w:hAnsi="Arial" w:cs="Arial"/>
        </w:rPr>
        <w:t>5.1 Task definition</w:t>
      </w:r>
      <w:bookmarkEnd w:id="28"/>
    </w:p>
    <w:p w14:paraId="5D95CDA2" w14:textId="77777777" w:rsidR="00421570" w:rsidRPr="0017344A" w:rsidRDefault="00000000">
      <w:pPr>
        <w:rPr>
          <w:rFonts w:ascii="Arial" w:hAnsi="Arial" w:cs="Arial"/>
        </w:rPr>
      </w:pPr>
      <w:r w:rsidRPr="0017344A">
        <w:rPr>
          <w:rFonts w:ascii="Arial" w:hAnsi="Arial" w:cs="Arial"/>
        </w:rPr>
        <w:t>The research question establishes what the method is intended to identify, measure or predict. Its intended use provides the context for interpreting the outputs: the same measurement may have different requirements when used for exploratory research or to support a particular decision.</w:t>
      </w:r>
    </w:p>
    <w:p w14:paraId="56FEA7B3" w14:textId="77777777" w:rsidR="00421570" w:rsidRPr="0017344A" w:rsidRDefault="00000000">
      <w:pPr>
        <w:rPr>
          <w:rFonts w:ascii="Arial" w:hAnsi="Arial" w:cs="Arial"/>
        </w:rPr>
      </w:pPr>
      <w:r w:rsidRPr="0017344A">
        <w:rPr>
          <w:rFonts w:ascii="Arial" w:hAnsi="Arial" w:cs="Arial"/>
        </w:rPr>
        <w:t>The scope describes the population or material being studied, the features of interest and the expected outputs. It also identifies responsibilities for reviewing those outputs and the role of human assessment within the analysis. This makes the relationship between automated processing and expert judgement clear from the outset.</w:t>
      </w:r>
    </w:p>
    <w:p w14:paraId="027474CB" w14:textId="77777777" w:rsidR="00421570" w:rsidRPr="0017344A" w:rsidRDefault="00000000">
      <w:pPr>
        <w:rPr>
          <w:rFonts w:ascii="Arial" w:hAnsi="Arial" w:cs="Arial"/>
        </w:rPr>
      </w:pPr>
      <w:r w:rsidRPr="0017344A">
        <w:rPr>
          <w:rFonts w:ascii="Arial" w:hAnsi="Arial" w:cs="Arial"/>
        </w:rPr>
        <w:t>Criteria for an acceptable result follow from this scope. They describe the level of accuracy, completeness or consistency needed for the task and the types of error that would make an output unsuitable. A documented scope gives data selection, model evaluation and interpretation a common basis.</w:t>
      </w:r>
    </w:p>
    <w:p w14:paraId="48B13F66" w14:textId="77777777" w:rsidR="00421570" w:rsidRPr="0017344A" w:rsidRDefault="00000000">
      <w:pPr>
        <w:rPr>
          <w:rFonts w:ascii="Arial" w:hAnsi="Arial" w:cs="Arial"/>
        </w:rPr>
      </w:pPr>
      <w:r w:rsidRPr="0017344A">
        <w:rPr>
          <w:rFonts w:ascii="Arial" w:hAnsi="Arial" w:cs="Arial"/>
          <w:i/>
        </w:rPr>
        <w:t>Cross-site and regulatory considerations.</w:t>
      </w:r>
      <w:r w:rsidRPr="0017344A">
        <w:rPr>
          <w:rFonts w:ascii="Arial" w:hAnsi="Arial" w:cs="Arial"/>
        </w:rPr>
        <w:t xml:space="preserve"> The intended use should be written as an explicit intended-purpose statement, naming the clinical question, the intended user and the target population. That statement determines whether the method would qualify as a medical device or IVD (Section 3.2) and whether the work remains within the research exclusions of the MDR, IVDR and AI Act. In multi-site work, all sites should agree the same task definition and acceptance criteria before data are prepared. Clinicians and, where appropriate, patient representatives should be involved in defining which errors are unacceptable.</w:t>
      </w:r>
    </w:p>
    <w:p w14:paraId="52DA19FA" w14:textId="77777777" w:rsidR="00421570" w:rsidRPr="0017344A" w:rsidRDefault="00000000">
      <w:pPr>
        <w:pStyle w:val="Heading2"/>
        <w:rPr>
          <w:rFonts w:ascii="Arial" w:hAnsi="Arial" w:cs="Arial"/>
        </w:rPr>
      </w:pPr>
      <w:bookmarkStart w:id="29" w:name="_Toc241574667"/>
      <w:r w:rsidRPr="0017344A">
        <w:rPr>
          <w:rFonts w:ascii="Arial" w:hAnsi="Arial" w:cs="Arial"/>
        </w:rPr>
        <w:t>5.2 Data description</w:t>
      </w:r>
      <w:bookmarkEnd w:id="29"/>
    </w:p>
    <w:p w14:paraId="14236836" w14:textId="77777777" w:rsidR="00421570" w:rsidRPr="0017344A" w:rsidRDefault="00000000">
      <w:pPr>
        <w:rPr>
          <w:rFonts w:ascii="Arial" w:hAnsi="Arial" w:cs="Arial"/>
        </w:rPr>
      </w:pPr>
      <w:r w:rsidRPr="0017344A">
        <w:rPr>
          <w:rFonts w:ascii="Arial" w:hAnsi="Arial" w:cs="Arial"/>
        </w:rPr>
        <w:t>The dataset description covers the source of the data, how they were collected, the material included and any preparation applied before analysis. Relevant preparation may include image resizing, intensity normalisation or the handling of missing observations. These details help explain the conditions under which the method is evaluated.</w:t>
      </w:r>
    </w:p>
    <w:p w14:paraId="2D6191AC" w14:textId="77777777" w:rsidR="00421570" w:rsidRPr="0017344A" w:rsidRDefault="00000000">
      <w:pPr>
        <w:rPr>
          <w:rFonts w:ascii="Arial" w:hAnsi="Arial" w:cs="Arial"/>
        </w:rPr>
      </w:pPr>
      <w:r w:rsidRPr="0017344A">
        <w:rPr>
          <w:rFonts w:ascii="Arial" w:hAnsi="Arial" w:cs="Arial"/>
        </w:rPr>
        <w:t>When an analysis involves patient data, restrictions on data transfer may require the work to be performed within the hospital’s approved computing environment. The arrangements for data access and processing therefore form part of the analysis setup.</w:t>
      </w:r>
    </w:p>
    <w:p w14:paraId="131E33DA" w14:textId="77777777" w:rsidR="00421570" w:rsidRPr="0017344A" w:rsidRDefault="00000000">
      <w:pPr>
        <w:rPr>
          <w:rFonts w:ascii="Arial" w:hAnsi="Arial" w:cs="Arial"/>
        </w:rPr>
      </w:pPr>
      <w:r w:rsidRPr="0017344A">
        <w:rPr>
          <w:rFonts w:ascii="Arial" w:hAnsi="Arial" w:cs="Arial"/>
        </w:rPr>
        <w:lastRenderedPageBreak/>
        <w:t>Where evaluation involves comparison with reference information, its origin and review process form part of the description. For image analysis, this may include annotations identifying the structures of interest. Uncertainty or inconsistency in the reference information affects the interpretation of differences between the model and the reference.</w:t>
      </w:r>
    </w:p>
    <w:p w14:paraId="08B7E6CC" w14:textId="77777777" w:rsidR="00421570" w:rsidRPr="0017344A" w:rsidRDefault="00000000">
      <w:pPr>
        <w:rPr>
          <w:rFonts w:ascii="Arial" w:hAnsi="Arial" w:cs="Arial"/>
        </w:rPr>
      </w:pPr>
      <w:r w:rsidRPr="0017344A">
        <w:rPr>
          <w:rFonts w:ascii="Arial" w:hAnsi="Arial" w:cs="Arial"/>
        </w:rPr>
        <w:t>The separation of training and evaluation data accounts for related observations from the same source, such as repeated measurements from one participant or images from one sequence. Their allocation to each set affects how independently the method is being evaluated.</w:t>
      </w:r>
    </w:p>
    <w:p w14:paraId="121DE738" w14:textId="77777777" w:rsidR="00421570" w:rsidRPr="0017344A" w:rsidRDefault="00000000">
      <w:pPr>
        <w:rPr>
          <w:rFonts w:ascii="Arial" w:hAnsi="Arial" w:cs="Arial"/>
        </w:rPr>
      </w:pPr>
      <w:r w:rsidRPr="0017344A">
        <w:rPr>
          <w:rFonts w:ascii="Arial" w:hAnsi="Arial" w:cs="Arial"/>
        </w:rPr>
        <w:t>Dataset documentation also describes the criteria for inclusion and exclusion. Links between the original observations, processed inputs and retained results make it possible to understand how the analysed dataset was formed. This is particularly relevant when quality review removes part of the original data.</w:t>
      </w:r>
    </w:p>
    <w:p w14:paraId="203C1148" w14:textId="77777777" w:rsidR="00421570" w:rsidRPr="0017344A" w:rsidRDefault="00000000">
      <w:pPr>
        <w:rPr>
          <w:rFonts w:ascii="Arial" w:hAnsi="Arial" w:cs="Arial"/>
        </w:rPr>
      </w:pPr>
      <w:r w:rsidRPr="0017344A">
        <w:rPr>
          <w:rFonts w:ascii="Arial" w:hAnsi="Arial" w:cs="Arial"/>
          <w:i/>
        </w:rPr>
        <w:t>Cross-site and regulatory considerations.</w:t>
      </w:r>
      <w:r w:rsidRPr="0017344A">
        <w:rPr>
          <w:rFonts w:ascii="Arial" w:hAnsi="Arial" w:cs="Arial"/>
        </w:rPr>
        <w:t xml:space="preserve"> For each contributing site, record the lawful basis for processing, the consent or opt-out status, the ethics approval and the agreements in place between partners (Section 3.1). Describe each site’s data using the harmonised metadata in Table 5, so that differences in equipment, laboratory practice and population can be taken into account. Where possible, hold out at least one site entirely for external validation. Describe the population represented and any known gaps, such as under-representation of particular age groups.</w:t>
      </w:r>
    </w:p>
    <w:p w14:paraId="3B6FCB00" w14:textId="77777777" w:rsidR="00421570" w:rsidRPr="0017344A" w:rsidRDefault="00000000">
      <w:pPr>
        <w:pStyle w:val="Heading2"/>
        <w:rPr>
          <w:rFonts w:ascii="Arial" w:hAnsi="Arial" w:cs="Arial"/>
        </w:rPr>
      </w:pPr>
      <w:bookmarkStart w:id="30" w:name="_Toc241574668"/>
      <w:r w:rsidRPr="0017344A">
        <w:rPr>
          <w:rFonts w:ascii="Arial" w:hAnsi="Arial" w:cs="Arial"/>
        </w:rPr>
        <w:t>5.3 Model identification</w:t>
      </w:r>
      <w:bookmarkEnd w:id="30"/>
    </w:p>
    <w:p w14:paraId="4ACBA2A7" w14:textId="77777777" w:rsidR="00421570" w:rsidRPr="0017344A" w:rsidRDefault="00000000">
      <w:pPr>
        <w:rPr>
          <w:rFonts w:ascii="Arial" w:hAnsi="Arial" w:cs="Arial"/>
        </w:rPr>
      </w:pPr>
      <w:r w:rsidRPr="0017344A">
        <w:rPr>
          <w:rFonts w:ascii="Arial" w:hAnsi="Arial" w:cs="Arial"/>
        </w:rPr>
        <w:t>Model identification covers the version used for analysis, its associated configuration and the preparation of its inputs. The model and its settings together define the method being evaluated; a change in either may alter the resulting outputs.</w:t>
      </w:r>
    </w:p>
    <w:p w14:paraId="012BD0D7" w14:textId="77777777" w:rsidR="00421570" w:rsidRPr="0017344A" w:rsidRDefault="00000000">
      <w:pPr>
        <w:rPr>
          <w:rFonts w:ascii="Arial" w:hAnsi="Arial" w:cs="Arial"/>
        </w:rPr>
      </w:pPr>
      <w:r w:rsidRPr="0017344A">
        <w:rPr>
          <w:rFonts w:ascii="Arial" w:hAnsi="Arial" w:cs="Arial"/>
        </w:rPr>
        <w:t>The description of the outputs explains what each label, value or region represents. In an image-segmentation method, for example, the association between output labels and anatomical structures determines how overlays and subsequent measurements are interpreted. Units and any processing applied after prediction are also relevant to understanding the results.</w:t>
      </w:r>
    </w:p>
    <w:p w14:paraId="08F7785D" w14:textId="77777777" w:rsidR="00421570" w:rsidRPr="0017344A" w:rsidRDefault="00000000">
      <w:pPr>
        <w:rPr>
          <w:rFonts w:ascii="Arial" w:hAnsi="Arial" w:cs="Arial"/>
        </w:rPr>
      </w:pPr>
      <w:r w:rsidRPr="0017344A">
        <w:rPr>
          <w:rFonts w:ascii="Arial" w:hAnsi="Arial" w:cs="Arial"/>
        </w:rPr>
        <w:t>A model record connects the input preparation, model version and analysis settings with the resulting evaluation. This supports reproducibility and allows comparisons between analyses to account for changes in the method, rather than attributing every difference to the data.</w:t>
      </w:r>
    </w:p>
    <w:p w14:paraId="18D13A5E" w14:textId="77777777" w:rsidR="00421570" w:rsidRPr="0017344A" w:rsidRDefault="00000000">
      <w:pPr>
        <w:rPr>
          <w:rFonts w:ascii="Arial" w:hAnsi="Arial" w:cs="Arial"/>
        </w:rPr>
      </w:pPr>
      <w:r w:rsidRPr="0017344A">
        <w:rPr>
          <w:rFonts w:ascii="Arial" w:hAnsi="Arial" w:cs="Arial"/>
          <w:i/>
        </w:rPr>
        <w:t>Cross-site and regulatory considerations.</w:t>
      </w:r>
      <w:r w:rsidRPr="0017344A">
        <w:rPr>
          <w:rFonts w:ascii="Arial" w:hAnsi="Arial" w:cs="Arial"/>
        </w:rPr>
        <w:t xml:space="preserve"> In federated evaluation, every site must run exactly the same model. A checksum of the model weights and a record of the software environment make this verifiable. Version control and change records at this stage are the foundation of the software life-cycle documentation that would later be required under IEC 62304 and the MDR. The ownership and licensing of the model and of any training data should also be recorded, in line with the NESTOR intellectual property management plan.</w:t>
      </w:r>
    </w:p>
    <w:p w14:paraId="2DB8D811" w14:textId="77777777" w:rsidR="00421570" w:rsidRPr="0017344A" w:rsidRDefault="00000000">
      <w:pPr>
        <w:pStyle w:val="Heading2"/>
        <w:rPr>
          <w:rFonts w:ascii="Arial" w:hAnsi="Arial" w:cs="Arial"/>
        </w:rPr>
      </w:pPr>
      <w:bookmarkStart w:id="31" w:name="_Toc241574669"/>
      <w:r w:rsidRPr="0017344A">
        <w:rPr>
          <w:rFonts w:ascii="Arial" w:hAnsi="Arial" w:cs="Arial"/>
        </w:rPr>
        <w:t>5.4 Evaluation and visual review</w:t>
      </w:r>
      <w:bookmarkEnd w:id="31"/>
    </w:p>
    <w:p w14:paraId="2745D0F1" w14:textId="77777777" w:rsidR="00421570" w:rsidRPr="0017344A" w:rsidRDefault="00000000">
      <w:pPr>
        <w:rPr>
          <w:rFonts w:ascii="Arial" w:hAnsi="Arial" w:cs="Arial"/>
        </w:rPr>
      </w:pPr>
      <w:r w:rsidRPr="0017344A">
        <w:rPr>
          <w:rFonts w:ascii="Arial" w:hAnsi="Arial" w:cs="Arial"/>
        </w:rPr>
        <w:t>Evaluation examines how well the outputs address the task defined in Step 1. Where suitable reference information is available, comparison with that reference provides a basis for calculating performance measures. The calculation and level of analysis are part of the evaluation description, since a result calculated per image may answer a different question from one calculated per sequence or participant.</w:t>
      </w:r>
    </w:p>
    <w:p w14:paraId="3C6D77B1" w14:textId="77777777" w:rsidR="00421570" w:rsidRPr="0017344A" w:rsidRDefault="00000000">
      <w:pPr>
        <w:rPr>
          <w:rFonts w:ascii="Arial" w:hAnsi="Arial" w:cs="Arial"/>
        </w:rPr>
      </w:pPr>
      <w:r w:rsidRPr="0017344A">
        <w:rPr>
          <w:rFonts w:ascii="Arial" w:hAnsi="Arial" w:cs="Arial"/>
        </w:rPr>
        <w:t>Visual review complements quantitative measures in image-based applications. It reveals the nature and distribution of errors, including incomplete outputs or incorrect identification of structures that may be obscured by an overall performance value. Review of individual results also helps determine whether they can support subsequent measurements.</w:t>
      </w:r>
    </w:p>
    <w:p w14:paraId="4E95A418" w14:textId="77777777" w:rsidR="00421570" w:rsidRPr="0017344A" w:rsidRDefault="00000000">
      <w:pPr>
        <w:keepNext/>
        <w:rPr>
          <w:rFonts w:ascii="Arial" w:hAnsi="Arial" w:cs="Arial"/>
        </w:rPr>
      </w:pPr>
      <w:r w:rsidRPr="0017344A">
        <w:rPr>
          <w:rFonts w:ascii="Arial" w:hAnsi="Arial" w:cs="Arial"/>
        </w:rPr>
        <w:lastRenderedPageBreak/>
        <w:t>Quality review addresses three related aspects:</w:t>
      </w:r>
    </w:p>
    <w:p w14:paraId="5DC50655" w14:textId="77777777" w:rsidR="00421570" w:rsidRPr="0017344A" w:rsidRDefault="00000000">
      <w:pPr>
        <w:keepNext/>
        <w:ind w:left="360" w:hanging="360"/>
        <w:rPr>
          <w:rFonts w:ascii="Arial" w:hAnsi="Arial" w:cs="Arial"/>
        </w:rPr>
      </w:pPr>
      <w:r w:rsidRPr="0017344A">
        <w:rPr>
          <w:rFonts w:ascii="Arial" w:hAnsi="Arial" w:cs="Arial"/>
        </w:rPr>
        <w:t>1. The characteristics that distinguish usable outputs from incomplete or incorrect results.</w:t>
      </w:r>
    </w:p>
    <w:p w14:paraId="6A90CE02" w14:textId="77777777" w:rsidR="00421570" w:rsidRPr="0017344A" w:rsidRDefault="00000000">
      <w:pPr>
        <w:keepNext/>
        <w:ind w:left="360" w:hanging="360"/>
        <w:rPr>
          <w:rFonts w:ascii="Arial" w:hAnsi="Arial" w:cs="Arial"/>
        </w:rPr>
      </w:pPr>
      <w:r w:rsidRPr="0017344A">
        <w:rPr>
          <w:rFonts w:ascii="Arial" w:hAnsi="Arial" w:cs="Arial"/>
        </w:rPr>
        <w:t>2. The level at which a decision applies, such as an individual observation or a complete sequence.</w:t>
      </w:r>
    </w:p>
    <w:p w14:paraId="503C087B" w14:textId="77777777" w:rsidR="00421570" w:rsidRPr="0017344A" w:rsidRDefault="00000000">
      <w:pPr>
        <w:ind w:left="360" w:hanging="360"/>
        <w:rPr>
          <w:rFonts w:ascii="Arial" w:hAnsi="Arial" w:cs="Arial"/>
        </w:rPr>
      </w:pPr>
      <w:r w:rsidRPr="0017344A">
        <w:rPr>
          <w:rFonts w:ascii="Arial" w:hAnsi="Arial" w:cs="Arial"/>
        </w:rPr>
        <w:t>3. The basis for retaining, reprocessing or excluding the affected data.</w:t>
      </w:r>
    </w:p>
    <w:p w14:paraId="2A1E23C9" w14:textId="77777777" w:rsidR="00421570" w:rsidRPr="0017344A" w:rsidRDefault="00000000">
      <w:pPr>
        <w:rPr>
          <w:rFonts w:ascii="Arial" w:hAnsi="Arial" w:cs="Arial"/>
        </w:rPr>
      </w:pPr>
      <w:r w:rsidRPr="0017344A">
        <w:rPr>
          <w:rFonts w:ascii="Arial" w:hAnsi="Arial" w:cs="Arial"/>
        </w:rPr>
        <w:t>The review criteria and reasons for exclusion explain how the final analysis set differs from the original dataset. Numerical thresholds and qualitative judgements represent different bases for these decisions and are described accordingly. Evaluation of the original outputs and analysis of the retained data answer different questions; the latter describes the subset that passed review.</w:t>
      </w:r>
    </w:p>
    <w:p w14:paraId="614FAC56" w14:textId="77777777" w:rsidR="00421570" w:rsidRPr="0017344A" w:rsidRDefault="00000000">
      <w:pPr>
        <w:rPr>
          <w:rFonts w:ascii="Arial" w:hAnsi="Arial" w:cs="Arial"/>
        </w:rPr>
      </w:pPr>
      <w:r w:rsidRPr="0017344A">
        <w:rPr>
          <w:rFonts w:ascii="Arial" w:hAnsi="Arial" w:cs="Arial"/>
        </w:rPr>
        <w:t>Performance measures describe the quality of the method’s outputs. Measurements subsequently derived from those outputs address the research question. Keeping these two types of result distinct clarifies what the evaluation establishes and how output quality affects the findings.</w:t>
      </w:r>
    </w:p>
    <w:p w14:paraId="489342AC" w14:textId="77777777" w:rsidR="00421570" w:rsidRPr="0017344A" w:rsidRDefault="00000000">
      <w:pPr>
        <w:rPr>
          <w:rFonts w:ascii="Arial" w:hAnsi="Arial" w:cs="Arial"/>
        </w:rPr>
      </w:pPr>
      <w:r w:rsidRPr="0017344A">
        <w:rPr>
          <w:rFonts w:ascii="Arial" w:hAnsi="Arial" w:cs="Arial"/>
          <w:i/>
        </w:rPr>
        <w:t>Cross-site and regulatory considerations.</w:t>
      </w:r>
      <w:r w:rsidRPr="0017344A">
        <w:rPr>
          <w:rFonts w:ascii="Arial" w:hAnsi="Arial" w:cs="Arial"/>
        </w:rPr>
        <w:t xml:space="preserve"> Review criteria and exclusion rules should be agreed before evaluation and applied identically at each site, using coded exclusion reasons so that exclusion rates can be compared. Report performance per site as well as overall, with confidence intervals. When a method moves towards clinical use, visual review becomes part of the human oversight design. The documentation should state who reviews outputs, what they can override, and how disagreements are resolved. Failure modes identified during review should be recorded in a risk register.</w:t>
      </w:r>
    </w:p>
    <w:p w14:paraId="54719BBF" w14:textId="77777777" w:rsidR="00421570" w:rsidRPr="0017344A" w:rsidRDefault="00000000">
      <w:pPr>
        <w:pStyle w:val="Heading2"/>
        <w:rPr>
          <w:rFonts w:ascii="Arial" w:hAnsi="Arial" w:cs="Arial"/>
        </w:rPr>
      </w:pPr>
      <w:bookmarkStart w:id="32" w:name="_Toc241574670"/>
      <w:r w:rsidRPr="0017344A">
        <w:rPr>
          <w:rFonts w:ascii="Arial" w:hAnsi="Arial" w:cs="Arial"/>
        </w:rPr>
        <w:t>5.5 Documentation and interpretation</w:t>
      </w:r>
      <w:bookmarkEnd w:id="32"/>
    </w:p>
    <w:p w14:paraId="2570D15E" w14:textId="77777777" w:rsidR="00421570" w:rsidRPr="0017344A" w:rsidRDefault="00000000">
      <w:pPr>
        <w:rPr>
          <w:rFonts w:ascii="Arial" w:hAnsi="Arial" w:cs="Arial"/>
        </w:rPr>
      </w:pPr>
      <w:r w:rsidRPr="0017344A">
        <w:rPr>
          <w:rFonts w:ascii="Arial" w:hAnsi="Arial" w:cs="Arial"/>
        </w:rPr>
        <w:t>Documentation brings together the research question, dataset, model configuration, evaluation results and review decisions. Their connection allows a finding to be traced to the data and processing steps from which it was derived.</w:t>
      </w:r>
    </w:p>
    <w:p w14:paraId="741CDAF6" w14:textId="77777777" w:rsidR="00421570" w:rsidRPr="0017344A" w:rsidRDefault="00000000">
      <w:pPr>
        <w:rPr>
          <w:rFonts w:ascii="Arial" w:hAnsi="Arial" w:cs="Arial"/>
        </w:rPr>
      </w:pPr>
      <w:r w:rsidRPr="0017344A">
        <w:rPr>
          <w:rFonts w:ascii="Arial" w:hAnsi="Arial" w:cs="Arial"/>
        </w:rPr>
        <w:t>Quantitative results and qualitative observations provide different forms of evidence. Their presentation identifies how each was obtained, the observations to which it applies and any exclusions affecting its interpretation. This makes the basis of each finding clear without treating a visual judgement as an automatically calculated measurement.</w:t>
      </w:r>
    </w:p>
    <w:p w14:paraId="12090B14" w14:textId="77777777" w:rsidR="00421570" w:rsidRPr="0017344A" w:rsidRDefault="00000000">
      <w:pPr>
        <w:rPr>
          <w:rFonts w:ascii="Arial" w:hAnsi="Arial" w:cs="Arial"/>
        </w:rPr>
      </w:pPr>
      <w:r w:rsidRPr="0017344A">
        <w:rPr>
          <w:rFonts w:ascii="Arial" w:hAnsi="Arial" w:cs="Arial"/>
        </w:rPr>
        <w:t>Interpretation relates the findings to the task defined in Step 1. It considers the coverage of the dataset, the quality of the reference information, the errors observed and the effect of data selection. These factors explain the conditions under which the findings are supported and the questions that remain open.</w:t>
      </w:r>
    </w:p>
    <w:p w14:paraId="7FFAAD8B" w14:textId="77777777" w:rsidR="00421570" w:rsidRPr="0017344A" w:rsidRDefault="00000000">
      <w:pPr>
        <w:rPr>
          <w:rFonts w:ascii="Arial" w:hAnsi="Arial" w:cs="Arial"/>
        </w:rPr>
      </w:pPr>
      <w:r w:rsidRPr="0017344A">
        <w:rPr>
          <w:rFonts w:ascii="Arial" w:hAnsi="Arial" w:cs="Arial"/>
        </w:rPr>
        <w:t xml:space="preserve">The resulting account describes both the contribution of the method and any further evaluation needed for its intended use. The </w:t>
      </w:r>
      <w:hyperlink r:id="rId14">
        <w:r w:rsidR="00421570" w:rsidRPr="0017344A">
          <w:rPr>
            <w:rFonts w:ascii="Arial" w:hAnsi="Arial" w:cs="Arial"/>
            <w:color w:val="503078"/>
            <w:u w:val="single"/>
          </w:rPr>
          <w:t>embryo image-analysis example</w:t>
        </w:r>
      </w:hyperlink>
      <w:r w:rsidRPr="0017344A">
        <w:rPr>
          <w:rFonts w:ascii="Arial" w:hAnsi="Arial" w:cs="Arial"/>
        </w:rPr>
        <w:t xml:space="preserve"> shows how the five stages relate to a specific NESTOR research application.</w:t>
      </w:r>
    </w:p>
    <w:p w14:paraId="4EE09EF0" w14:textId="77777777" w:rsidR="00421570" w:rsidRPr="0017344A" w:rsidRDefault="00000000">
      <w:pPr>
        <w:rPr>
          <w:rFonts w:ascii="Arial" w:hAnsi="Arial" w:cs="Arial"/>
        </w:rPr>
      </w:pPr>
      <w:r w:rsidRPr="0017344A">
        <w:rPr>
          <w:rFonts w:ascii="Arial" w:hAnsi="Arial" w:cs="Arial"/>
          <w:i/>
        </w:rPr>
        <w:t>Cross-site and regulatory considerations.</w:t>
      </w:r>
      <w:r w:rsidRPr="0017344A">
        <w:rPr>
          <w:rFonts w:ascii="Arial" w:hAnsi="Arial" w:cs="Arial"/>
        </w:rPr>
        <w:t xml:space="preserve"> Report studies according to recognised guidelines: TRIPOD+AI for prediction models [24], CLAIM for AI in medical imaging [25] and DECIDE-AI for early clinical evaluation of AI decision support [26]. State explicitly which stage of evidence has been reached (Table 2). Findings from Stage A or B should not be presented as evidence of clinical benefit, whether in publications, communication materials or discussions with patients. Records should be archived according to the NESTOR data management plan so that they can support later studies or regulatory submissions.</w:t>
      </w:r>
    </w:p>
    <w:p w14:paraId="1A3E3754" w14:textId="77777777" w:rsidR="00421570" w:rsidRPr="0017344A" w:rsidRDefault="00000000">
      <w:pPr>
        <w:pStyle w:val="Heading1"/>
        <w:rPr>
          <w:rFonts w:ascii="Arial" w:hAnsi="Arial" w:cs="Arial"/>
        </w:rPr>
      </w:pPr>
      <w:bookmarkStart w:id="33" w:name="_Toc241574671"/>
      <w:r w:rsidRPr="0017344A">
        <w:rPr>
          <w:rFonts w:ascii="Arial" w:hAnsi="Arial" w:cs="Arial"/>
        </w:rPr>
        <w:t>6. Embryo image-analysis example</w:t>
      </w:r>
      <w:bookmarkEnd w:id="33"/>
    </w:p>
    <w:p w14:paraId="5FDD58B2" w14:textId="77777777" w:rsidR="00421570" w:rsidRPr="0017344A" w:rsidRDefault="00000000">
      <w:pPr>
        <w:rPr>
          <w:rFonts w:ascii="Arial" w:hAnsi="Arial" w:cs="Arial"/>
        </w:rPr>
      </w:pPr>
      <w:r w:rsidRPr="0017344A">
        <w:rPr>
          <w:rFonts w:ascii="Arial" w:hAnsi="Arial" w:cs="Arial"/>
        </w:rPr>
        <w:t xml:space="preserve">This example presents the NESTOR study of embryo development and hatching through the five stages of the </w:t>
      </w:r>
      <w:hyperlink r:id="rId15">
        <w:r w:rsidR="00421570" w:rsidRPr="0017344A">
          <w:rPr>
            <w:rFonts w:ascii="Arial" w:hAnsi="Arial" w:cs="Arial"/>
            <w:color w:val="503078"/>
            <w:u w:val="single"/>
          </w:rPr>
          <w:t>practical workflow</w:t>
        </w:r>
      </w:hyperlink>
      <w:r w:rsidRPr="0017344A">
        <w:rPr>
          <w:rFonts w:ascii="Arial" w:hAnsi="Arial" w:cs="Arial"/>
        </w:rPr>
        <w:t xml:space="preserve">. It brings together the research objective, the image-analysis approach and the </w:t>
      </w:r>
      <w:r w:rsidRPr="0017344A">
        <w:rPr>
          <w:rFonts w:ascii="Arial" w:hAnsi="Arial" w:cs="Arial"/>
        </w:rPr>
        <w:lastRenderedPageBreak/>
        <w:t>visual review procedure used to select segmentation outputs for measurement. Section 6.6 then relates the study to the stages of clinical translation described in Chapter 2.</w:t>
      </w:r>
    </w:p>
    <w:p w14:paraId="49A093EF" w14:textId="77777777" w:rsidR="00421570" w:rsidRPr="0017344A" w:rsidRDefault="00000000">
      <w:pPr>
        <w:rPr>
          <w:rFonts w:ascii="Arial" w:hAnsi="Arial" w:cs="Arial"/>
        </w:rPr>
      </w:pPr>
      <w:r w:rsidRPr="0017344A">
        <w:rPr>
          <w:rFonts w:ascii="Arial" w:hAnsi="Arial" w:cs="Arial"/>
        </w:rPr>
        <w:t xml:space="preserve">The embryo-analysis work was carried out through a collaboration between members of INFS and UM at MUMC+.</w:t>
      </w:r>
    </w:p>
    <w:p w14:paraId="3058078D" w14:textId="77777777" w:rsidR="00421570" w:rsidRPr="0017344A" w:rsidRDefault="00000000">
      <w:pPr>
        <w:pStyle w:val="Heading2"/>
        <w:rPr>
          <w:rFonts w:ascii="Arial" w:hAnsi="Arial" w:cs="Arial"/>
        </w:rPr>
      </w:pPr>
      <w:bookmarkStart w:id="34" w:name="_Toc241574672"/>
      <w:r w:rsidRPr="0017344A">
        <w:rPr>
          <w:rFonts w:ascii="Arial" w:hAnsi="Arial" w:cs="Arial"/>
        </w:rPr>
        <w:t>6.1 Task definition</w:t>
      </w:r>
      <w:bookmarkEnd w:id="34"/>
    </w:p>
    <w:p w14:paraId="3C2669E4" w14:textId="77777777" w:rsidR="00421570" w:rsidRPr="0017344A" w:rsidRDefault="00000000">
      <w:pPr>
        <w:rPr>
          <w:rFonts w:ascii="Arial" w:hAnsi="Arial" w:cs="Arial"/>
        </w:rPr>
      </w:pPr>
      <w:r w:rsidRPr="0017344A">
        <w:rPr>
          <w:rFonts w:ascii="Arial" w:hAnsi="Arial" w:cs="Arial"/>
        </w:rPr>
        <w:t>The research objective was to study changes in the zona pellucida (ZP), inner cell mass (ICM) and trophectoderm (TE) during embryo development and hatching. Automated segmentation identified these structures in time-lapse images, supporting the assessment of size, shape, ZP thickness and image intensity over time.</w:t>
      </w:r>
    </w:p>
    <w:p w14:paraId="28B9161D" w14:textId="77777777" w:rsidR="00421570" w:rsidRPr="0017344A" w:rsidRDefault="00000000">
      <w:pPr>
        <w:rPr>
          <w:rFonts w:ascii="Arial" w:hAnsi="Arial" w:cs="Arial"/>
        </w:rPr>
      </w:pPr>
      <w:r w:rsidRPr="0017344A">
        <w:rPr>
          <w:rFonts w:ascii="Arial" w:hAnsi="Arial" w:cs="Arial"/>
        </w:rPr>
        <w:t>Visual observations and quantitative measurements were used together to examine developmental changes. Hatching was identified visually, providing an observation separate from the measurements extracted by the analysis pipeline.</w:t>
      </w:r>
    </w:p>
    <w:p w14:paraId="5F92188C" w14:textId="77777777" w:rsidR="00421570" w:rsidRPr="0017344A" w:rsidRDefault="00000000">
      <w:pPr>
        <w:rPr>
          <w:rFonts w:ascii="Arial" w:hAnsi="Arial" w:cs="Arial"/>
        </w:rPr>
      </w:pPr>
      <w:r w:rsidRPr="0017344A">
        <w:rPr>
          <w:rFonts w:ascii="Arial" w:hAnsi="Arial" w:cs="Arial"/>
        </w:rPr>
        <w:t>The intended use was exploratory research. The outputs were not used to inform the selection or transfer of embryos, so the work falls within Stage A of Table 2.</w:t>
      </w:r>
    </w:p>
    <w:p w14:paraId="02C48DAD" w14:textId="77777777" w:rsidR="00421570" w:rsidRPr="0017344A" w:rsidRDefault="00000000">
      <w:pPr>
        <w:pStyle w:val="Heading2"/>
        <w:rPr>
          <w:rFonts w:ascii="Arial" w:hAnsi="Arial" w:cs="Arial"/>
        </w:rPr>
      </w:pPr>
      <w:bookmarkStart w:id="35" w:name="_Toc241574673"/>
      <w:r w:rsidRPr="0017344A">
        <w:rPr>
          <w:rFonts w:ascii="Arial" w:hAnsi="Arial" w:cs="Arial"/>
        </w:rPr>
        <w:t>6.2 Data description</w:t>
      </w:r>
      <w:bookmarkEnd w:id="35"/>
    </w:p>
    <w:p w14:paraId="497BDF05" w14:textId="77777777" w:rsidR="00421570" w:rsidRPr="0017344A" w:rsidRDefault="00000000">
      <w:pPr>
        <w:rPr>
          <w:rFonts w:ascii="Arial" w:hAnsi="Arial" w:cs="Arial"/>
        </w:rPr>
      </w:pPr>
      <w:r w:rsidRPr="0017344A">
        <w:rPr>
          <w:rFonts w:ascii="Arial" w:hAnsi="Arial" w:cs="Arial"/>
        </w:rPr>
        <w:t>The analysis used time-lapse image sequences of embryo development and hatching. Each sequence contained successive frames associated with an embryo, allowing changes in the identified structures to be followed over time.</w:t>
      </w:r>
    </w:p>
    <w:p w14:paraId="30278D00" w14:textId="77777777" w:rsidR="00421570" w:rsidRPr="0017344A" w:rsidRDefault="00000000">
      <w:pPr>
        <w:rPr>
          <w:rFonts w:ascii="Arial" w:hAnsi="Arial" w:cs="Arial"/>
        </w:rPr>
      </w:pPr>
      <w:r w:rsidRPr="0017344A">
        <w:rPr>
          <w:rFonts w:ascii="Arial" w:hAnsi="Arial" w:cs="Arial"/>
        </w:rPr>
        <w:t>Images, segmentation overlays and videos provided the material for visual assessment. Review determined which frames, and in some cases which entire embryo sequences, were retained for analysis and metric extraction.</w:t>
      </w:r>
    </w:p>
    <w:p w14:paraId="7858FCBB" w14:textId="77777777" w:rsidR="00421570" w:rsidRPr="0017344A" w:rsidRDefault="00000000">
      <w:pPr>
        <w:rPr>
          <w:rFonts w:ascii="Arial" w:hAnsi="Arial" w:cs="Arial"/>
        </w:rPr>
      </w:pPr>
      <w:r w:rsidRPr="0017344A">
        <w:rPr>
          <w:rFonts w:ascii="Arial" w:hAnsi="Arial" w:cs="Arial"/>
        </w:rPr>
        <w:t>The measurements were organised by embryo and frame. This preserved the relationship between each quantitative record and its position within the corresponding image sequence.</w:t>
      </w:r>
    </w:p>
    <w:p w14:paraId="08E499EF" w14:textId="77777777" w:rsidR="00421570" w:rsidRPr="0017344A" w:rsidRDefault="00000000">
      <w:pPr>
        <w:rPr>
          <w:rFonts w:ascii="Arial" w:hAnsi="Arial" w:cs="Arial"/>
        </w:rPr>
      </w:pPr>
      <w:r w:rsidRPr="0017344A">
        <w:rPr>
          <w:rFonts w:ascii="Arial" w:hAnsi="Arial" w:cs="Arial"/>
        </w:rPr>
        <w:t xml:space="preserve">Because the images were linked to patient treatment, the analysis was carried out within the approved computing environment at MUMC+, and the data were not transferred to the seconded researcher’s home institution.</w:t>
      </w:r>
    </w:p>
    <w:p w14:paraId="44F20D03" w14:textId="77777777" w:rsidR="00421570" w:rsidRPr="0017344A" w:rsidRDefault="00000000">
      <w:pPr>
        <w:pStyle w:val="Heading2"/>
        <w:rPr>
          <w:rFonts w:ascii="Arial" w:hAnsi="Arial" w:cs="Arial"/>
        </w:rPr>
      </w:pPr>
      <w:bookmarkStart w:id="36" w:name="_Toc241574674"/>
      <w:r w:rsidRPr="0017344A">
        <w:rPr>
          <w:rFonts w:ascii="Arial" w:hAnsi="Arial" w:cs="Arial"/>
        </w:rPr>
        <w:t>6.3 Model identification</w:t>
      </w:r>
      <w:bookmarkEnd w:id="36"/>
    </w:p>
    <w:p w14:paraId="14EA05DB" w14:textId="77777777" w:rsidR="00421570" w:rsidRPr="0017344A" w:rsidRDefault="00000000">
      <w:pPr>
        <w:rPr>
          <w:rFonts w:ascii="Arial" w:hAnsi="Arial" w:cs="Arial"/>
        </w:rPr>
      </w:pPr>
      <w:r w:rsidRPr="0017344A">
        <w:rPr>
          <w:rFonts w:ascii="Arial" w:hAnsi="Arial" w:cs="Arial"/>
        </w:rPr>
        <w:t>The analysis pipeline used a segmentation model to identify ZP, ICM and TE in individual time-lapse frames. Its outputs represented the three anatomical structures and supported visualisation of their boundaries and extraction of quantitative measurements.</w:t>
      </w:r>
    </w:p>
    <w:p w14:paraId="70EF6D42" w14:textId="77777777" w:rsidR="00421570" w:rsidRPr="0017344A" w:rsidRDefault="00000000">
      <w:pPr>
        <w:rPr>
          <w:rFonts w:ascii="Arial" w:hAnsi="Arial" w:cs="Arial"/>
        </w:rPr>
      </w:pPr>
      <w:r w:rsidRPr="0017344A">
        <w:rPr>
          <w:rFonts w:ascii="Arial" w:hAnsi="Arial" w:cs="Arial"/>
        </w:rPr>
        <w:t>Segmentation overlays and videos allowed the predicted structures to be inspected in relation to the source images. The outputs also supported the assessment of image intensity and structural changes during development.</w:t>
      </w:r>
    </w:p>
    <w:p w14:paraId="2C3F80DA" w14:textId="77777777" w:rsidR="00421570" w:rsidRPr="0017344A" w:rsidRDefault="00000000">
      <w:pPr>
        <w:rPr>
          <w:rFonts w:ascii="Arial" w:hAnsi="Arial" w:cs="Arial"/>
        </w:rPr>
      </w:pPr>
      <w:r w:rsidRPr="0017344A">
        <w:rPr>
          <w:rFonts w:ascii="Arial" w:hAnsi="Arial" w:cs="Arial"/>
        </w:rPr>
        <w:t>The model’s role in this application was to identify the structures used for analysis. Visual review determined whether the resulting segmentation was suitable for measurement.</w:t>
      </w:r>
    </w:p>
    <w:p w14:paraId="1B3EF90C" w14:textId="77777777" w:rsidR="00421570" w:rsidRPr="0017344A" w:rsidRDefault="00000000">
      <w:pPr>
        <w:pStyle w:val="Heading2"/>
        <w:rPr>
          <w:rFonts w:ascii="Arial" w:hAnsi="Arial" w:cs="Arial"/>
        </w:rPr>
      </w:pPr>
      <w:bookmarkStart w:id="37" w:name="_Toc241574675"/>
      <w:r w:rsidRPr="0017344A">
        <w:rPr>
          <w:rFonts w:ascii="Arial" w:hAnsi="Arial" w:cs="Arial"/>
        </w:rPr>
        <w:lastRenderedPageBreak/>
        <w:t>6.4 Evaluation and visual review</w:t>
      </w:r>
      <w:bookmarkEnd w:id="37"/>
    </w:p>
    <w:p w14:paraId="59E510A2" w14:textId="77777777" w:rsidR="00421570" w:rsidRPr="0017344A" w:rsidRDefault="00000000">
      <w:pPr>
        <w:keepNext/>
        <w:rPr>
          <w:rFonts w:ascii="Arial" w:hAnsi="Arial" w:cs="Arial"/>
        </w:rPr>
      </w:pPr>
      <w:r w:rsidRPr="0017344A">
        <w:rPr>
          <w:rFonts w:ascii="Arial" w:hAnsi="Arial" w:cs="Arial"/>
        </w:rPr>
        <w:t>The quality-review procedure used in this application was based on visual inspection of the segmentation results for each run. It comprised three stages:</w:t>
      </w:r>
    </w:p>
    <w:p w14:paraId="43BBF76F" w14:textId="77777777" w:rsidR="00421570" w:rsidRPr="0017344A" w:rsidRDefault="00000000">
      <w:pPr>
        <w:keepNext/>
        <w:ind w:left="360" w:hanging="360"/>
        <w:rPr>
          <w:rFonts w:ascii="Arial" w:hAnsi="Arial" w:cs="Arial"/>
        </w:rPr>
      </w:pPr>
      <w:r w:rsidRPr="0017344A">
        <w:rPr>
          <w:rFonts w:ascii="Arial" w:hAnsi="Arial" w:cs="Arial"/>
        </w:rPr>
        <w:t>1. Visual inspection of the predicted ZP, ICM and TE structures.</w:t>
      </w:r>
    </w:p>
    <w:p w14:paraId="1D103C56" w14:textId="77777777" w:rsidR="00421570" w:rsidRPr="0017344A" w:rsidRDefault="00000000">
      <w:pPr>
        <w:keepNext/>
        <w:ind w:left="360" w:hanging="360"/>
        <w:rPr>
          <w:rFonts w:ascii="Arial" w:hAnsi="Arial" w:cs="Arial"/>
        </w:rPr>
      </w:pPr>
      <w:r w:rsidRPr="0017344A">
        <w:rPr>
          <w:rFonts w:ascii="Arial" w:hAnsi="Arial" w:cs="Arial"/>
        </w:rPr>
        <w:t>2. Exclusion of frames with incomplete or incorrect segmentation from analysis.</w:t>
      </w:r>
    </w:p>
    <w:p w14:paraId="12E76F02" w14:textId="77777777" w:rsidR="00421570" w:rsidRPr="0017344A" w:rsidRDefault="00000000">
      <w:pPr>
        <w:ind w:left="360" w:hanging="360"/>
        <w:rPr>
          <w:rFonts w:ascii="Arial" w:hAnsi="Arial" w:cs="Arial"/>
        </w:rPr>
      </w:pPr>
      <w:r w:rsidRPr="0017344A">
        <w:rPr>
          <w:rFonts w:ascii="Arial" w:hAnsi="Arial" w:cs="Arial"/>
        </w:rPr>
        <w:t>3. Exclusion of an embryo from analysis and metric extraction when too many of its frames were incorrectly segmented.</w:t>
      </w:r>
    </w:p>
    <w:p w14:paraId="539A694E" w14:textId="77777777" w:rsidR="00421570" w:rsidRPr="0017344A" w:rsidRDefault="00000000">
      <w:pPr>
        <w:rPr>
          <w:rFonts w:ascii="Arial" w:hAnsi="Arial" w:cs="Arial"/>
        </w:rPr>
      </w:pPr>
      <w:r w:rsidRPr="0017344A">
        <w:rPr>
          <w:rFonts w:ascii="Arial" w:hAnsi="Arial" w:cs="Arial"/>
        </w:rPr>
        <w:t>The embryo-level decision relied on qualitative visual judgement, without a fixed numerical cutoff. The resulting measurements therefore describe the frames and embryos retained after this review.</w:t>
      </w:r>
    </w:p>
    <w:p w14:paraId="65C6BD69" w14:textId="77777777" w:rsidR="00421570" w:rsidRPr="0017344A" w:rsidRDefault="00000000">
      <w:pPr>
        <w:rPr>
          <w:rFonts w:ascii="Arial" w:hAnsi="Arial" w:cs="Arial"/>
        </w:rPr>
      </w:pPr>
      <w:r w:rsidRPr="0017344A">
        <w:rPr>
          <w:rFonts w:ascii="Arial" w:hAnsi="Arial" w:cs="Arial"/>
        </w:rPr>
        <w:t>Images, overlays and videos were examined alongside quantitative measurements to assess changes over time. This describes the visual quality review applied in the study; numerical segmentation-performance results are not presented in this example.</w:t>
      </w:r>
    </w:p>
    <w:p w14:paraId="145D4A73" w14:textId="77777777" w:rsidR="00421570" w:rsidRPr="0017344A" w:rsidRDefault="00000000">
      <w:pPr>
        <w:pStyle w:val="Heading2"/>
        <w:rPr>
          <w:rFonts w:ascii="Arial" w:hAnsi="Arial" w:cs="Arial"/>
        </w:rPr>
      </w:pPr>
      <w:bookmarkStart w:id="38" w:name="_Toc241574676"/>
      <w:r w:rsidRPr="0017344A">
        <w:rPr>
          <w:rFonts w:ascii="Arial" w:hAnsi="Arial" w:cs="Arial"/>
        </w:rPr>
        <w:t>6.5 Documentation and interpretation</w:t>
      </w:r>
      <w:bookmarkEnd w:id="38"/>
    </w:p>
    <w:p w14:paraId="59FDE76E" w14:textId="77777777" w:rsidR="00421570" w:rsidRPr="0017344A" w:rsidRDefault="00000000">
      <w:pPr>
        <w:rPr>
          <w:rFonts w:ascii="Arial" w:hAnsi="Arial" w:cs="Arial"/>
        </w:rPr>
      </w:pPr>
      <w:r w:rsidRPr="0017344A">
        <w:rPr>
          <w:rFonts w:ascii="Arial" w:hAnsi="Arial" w:cs="Arial"/>
        </w:rPr>
        <w:t>Quantitative measurements were stored in one CSV file per embryo, with one row per time-lapse frame. This organisation supported assessment of changes in size, shape, ZP thickness and image intensity across each sequence.</w:t>
      </w:r>
    </w:p>
    <w:p w14:paraId="7CA45600" w14:textId="77777777" w:rsidR="00421570" w:rsidRPr="0017344A" w:rsidRDefault="00000000">
      <w:pPr>
        <w:rPr>
          <w:rFonts w:ascii="Arial" w:hAnsi="Arial" w:cs="Arial"/>
        </w:rPr>
      </w:pPr>
      <w:r w:rsidRPr="0017344A">
        <w:rPr>
          <w:rFonts w:ascii="Arial" w:hAnsi="Arial" w:cs="Arial"/>
        </w:rPr>
        <w:t>Hatching was assessed visually and was not recorded in the measurement CSV files. The visual observations and the quantities extracted by the pipeline therefore provide distinct sources of information about development and hatching.</w:t>
      </w:r>
    </w:p>
    <w:p w14:paraId="4784458C" w14:textId="77777777" w:rsidR="00421570" w:rsidRPr="0017344A" w:rsidRDefault="00000000">
      <w:pPr>
        <w:rPr>
          <w:rFonts w:ascii="Arial" w:hAnsi="Arial" w:cs="Arial"/>
        </w:rPr>
      </w:pPr>
      <w:r w:rsidRPr="0017344A">
        <w:rPr>
          <w:rFonts w:ascii="Arial" w:hAnsi="Arial" w:cs="Arial"/>
        </w:rPr>
        <w:t>Interpretation concerns the retained frames and embryos because incomplete or incorrect segmentation led to exclusions. The procedure illustrates how automated segmentation, visual review and quantitative assessment were combined in a research application. Its suitability for embryo selection or treatment decisions has not been established by this workflow alone.</w:t>
      </w:r>
    </w:p>
    <w:p w14:paraId="386CD5F7" w14:textId="77777777" w:rsidR="00421570" w:rsidRPr="0017344A" w:rsidRDefault="00000000">
      <w:pPr>
        <w:pStyle w:val="Heading2"/>
        <w:rPr>
          <w:rFonts w:ascii="Arial" w:hAnsi="Arial" w:cs="Arial"/>
        </w:rPr>
      </w:pPr>
      <w:bookmarkStart w:id="39" w:name="_Toc241574677"/>
      <w:r w:rsidRPr="0017344A">
        <w:rPr>
          <w:rFonts w:ascii="Arial" w:hAnsi="Arial" w:cs="Arial"/>
        </w:rPr>
        <w:t>6.6 From research workflow to clinical validation</w:t>
      </w:r>
      <w:bookmarkEnd w:id="39"/>
    </w:p>
    <w:p w14:paraId="425930DC" w14:textId="77777777" w:rsidR="00421570" w:rsidRPr="0017344A" w:rsidRDefault="00000000">
      <w:pPr>
        <w:rPr>
          <w:rFonts w:ascii="Arial" w:hAnsi="Arial" w:cs="Arial"/>
        </w:rPr>
      </w:pPr>
      <w:r w:rsidRPr="0017344A">
        <w:rPr>
          <w:rFonts w:ascii="Arial" w:hAnsi="Arial" w:cs="Arial"/>
        </w:rPr>
        <w:t>Table 7 summarises what the current study establishes and what further evidence would be needed before a method of this kind could support clinical decisions. It is intended as a roadmap for follow-up work within and beyond NESTOR, including the harmonised TLM data collection foreseen at AN.</w:t>
      </w:r>
    </w:p>
    <w:p w14:paraId="72B43060" w14:textId="77777777" w:rsidR="00421570" w:rsidRPr="0017344A" w:rsidRDefault="00000000">
      <w:pPr>
        <w:pStyle w:val="Caption"/>
        <w:keepNext/>
        <w:spacing w:before="160" w:after="80"/>
        <w:rPr>
          <w:rFonts w:ascii="Arial" w:hAnsi="Arial" w:cs="Arial"/>
        </w:rPr>
      </w:pPr>
      <w:r w:rsidRPr="0017344A">
        <w:rPr>
          <w:rFonts w:ascii="Arial" w:hAnsi="Arial" w:cs="Arial"/>
        </w:rPr>
        <w:t>Table 7. Current evidence and next steps towards clinical validation</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000"/>
        <w:gridCol w:w="3500"/>
        <w:gridCol w:w="4100"/>
      </w:tblGrid>
      <w:tr w:rsidR="00421570" w:rsidRPr="0017344A" w14:paraId="089D1A13" w14:textId="77777777">
        <w:trPr>
          <w:cantSplit/>
          <w:tblHeader/>
        </w:trPr>
        <w:tc>
          <w:tcPr>
            <w:tcW w:w="2000" w:type="dxa"/>
            <w:shd w:val="clear" w:color="auto" w:fill="EEE8F3"/>
          </w:tcPr>
          <w:p w14:paraId="05B0C585"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Aspect</w:t>
            </w:r>
          </w:p>
        </w:tc>
        <w:tc>
          <w:tcPr>
            <w:tcW w:w="3500" w:type="dxa"/>
            <w:shd w:val="clear" w:color="auto" w:fill="EEE8F3"/>
          </w:tcPr>
          <w:p w14:paraId="69962F7E"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Current status (Stage A)</w:t>
            </w:r>
          </w:p>
        </w:tc>
        <w:tc>
          <w:tcPr>
            <w:tcW w:w="4100" w:type="dxa"/>
            <w:shd w:val="clear" w:color="auto" w:fill="EEE8F3"/>
          </w:tcPr>
          <w:p w14:paraId="41A8ED1C"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Needed for clinical validation</w:t>
            </w:r>
          </w:p>
        </w:tc>
      </w:tr>
      <w:tr w:rsidR="00421570" w:rsidRPr="0017344A" w14:paraId="04A8E747" w14:textId="77777777">
        <w:trPr>
          <w:cantSplit/>
        </w:trPr>
        <w:tc>
          <w:tcPr>
            <w:tcW w:w="2000" w:type="dxa"/>
          </w:tcPr>
          <w:p w14:paraId="0DFE08A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Intended use</w:t>
            </w:r>
          </w:p>
        </w:tc>
        <w:tc>
          <w:tcPr>
            <w:tcW w:w="3500" w:type="dxa"/>
          </w:tcPr>
          <w:p w14:paraId="659E6F3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Exploratory research on ZP, ICM and TE changes during development and hatching.</w:t>
            </w:r>
          </w:p>
        </w:tc>
        <w:tc>
          <w:tcPr>
            <w:tcW w:w="4100" w:type="dxa"/>
          </w:tcPr>
          <w:p w14:paraId="0A1C8F0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 clinical intended-purpose statement (e.g. decision support in embryo assessment), with defined users and population.</w:t>
            </w:r>
          </w:p>
        </w:tc>
      </w:tr>
      <w:tr w:rsidR="00421570" w:rsidRPr="0017344A" w14:paraId="462984D4" w14:textId="77777777">
        <w:trPr>
          <w:cantSplit/>
        </w:trPr>
        <w:tc>
          <w:tcPr>
            <w:tcW w:w="2000" w:type="dxa"/>
          </w:tcPr>
          <w:p w14:paraId="5EBD447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Reference standard</w:t>
            </w:r>
          </w:p>
        </w:tc>
        <w:tc>
          <w:tcPr>
            <w:tcW w:w="3500" w:type="dxa"/>
          </w:tcPr>
          <w:p w14:paraId="1DF77EF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Visual review of segmentation outputs.</w:t>
            </w:r>
          </w:p>
        </w:tc>
        <w:tc>
          <w:tcPr>
            <w:tcW w:w="4100" w:type="dxa"/>
          </w:tcPr>
          <w:p w14:paraId="3ACF84E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Expert annotations under a common protocol, with measured inter-observer agreement.</w:t>
            </w:r>
          </w:p>
        </w:tc>
      </w:tr>
      <w:tr w:rsidR="00421570" w:rsidRPr="0017344A" w14:paraId="37307ED6" w14:textId="77777777">
        <w:trPr>
          <w:cantSplit/>
        </w:trPr>
        <w:tc>
          <w:tcPr>
            <w:tcW w:w="2000" w:type="dxa"/>
          </w:tcPr>
          <w:p w14:paraId="41D991B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Segmentation performance</w:t>
            </w:r>
          </w:p>
        </w:tc>
        <w:tc>
          <w:tcPr>
            <w:tcW w:w="3500" w:type="dxa"/>
          </w:tcPr>
          <w:p w14:paraId="52B88F2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Not quantified in this example.</w:t>
            </w:r>
          </w:p>
        </w:tc>
        <w:tc>
          <w:tcPr>
            <w:tcW w:w="4100" w:type="dxa"/>
          </w:tcPr>
          <w:p w14:paraId="0D59557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Per-structure overlap and boundary measures at frame and embryo level, with confidence intervals.</w:t>
            </w:r>
          </w:p>
        </w:tc>
      </w:tr>
      <w:tr w:rsidR="00421570" w:rsidRPr="0017344A" w14:paraId="7FAFAC85" w14:textId="77777777">
        <w:trPr>
          <w:cantSplit/>
        </w:trPr>
        <w:tc>
          <w:tcPr>
            <w:tcW w:w="2000" w:type="dxa"/>
          </w:tcPr>
          <w:p w14:paraId="5A7EB1F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 review</w:t>
            </w:r>
          </w:p>
        </w:tc>
        <w:tc>
          <w:tcPr>
            <w:tcW w:w="3500" w:type="dxa"/>
          </w:tcPr>
          <w:p w14:paraId="497DD22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Qualitative embryo-level exclusion without a fixed cutoff.</w:t>
            </w:r>
          </w:p>
        </w:tc>
        <w:tc>
          <w:tcPr>
            <w:tcW w:w="4100" w:type="dxa"/>
          </w:tcPr>
          <w:p w14:paraId="7AF40D5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Pre-specified criteria, reported exclusion rates and a second reviewer for borderline cases.</w:t>
            </w:r>
          </w:p>
        </w:tc>
      </w:tr>
      <w:tr w:rsidR="00421570" w:rsidRPr="0017344A" w14:paraId="6F82D456" w14:textId="77777777">
        <w:trPr>
          <w:cantSplit/>
        </w:trPr>
        <w:tc>
          <w:tcPr>
            <w:tcW w:w="2000" w:type="dxa"/>
          </w:tcPr>
          <w:p w14:paraId="117A714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Generalisability</w:t>
            </w:r>
          </w:p>
        </w:tc>
        <w:tc>
          <w:tcPr>
            <w:tcW w:w="3500" w:type="dxa"/>
          </w:tcPr>
          <w:p w14:paraId="2157F66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from a single clinical setting.</w:t>
            </w:r>
          </w:p>
        </w:tc>
        <w:tc>
          <w:tcPr>
            <w:tcW w:w="4100" w:type="dxa"/>
          </w:tcPr>
          <w:p w14:paraId="46957A5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Multi-site data from different time-lapse systems and populations, with site-held-out validation.</w:t>
            </w:r>
          </w:p>
        </w:tc>
      </w:tr>
      <w:tr w:rsidR="00421570" w:rsidRPr="0017344A" w14:paraId="5A7E5454" w14:textId="77777777">
        <w:trPr>
          <w:cantSplit/>
        </w:trPr>
        <w:tc>
          <w:tcPr>
            <w:tcW w:w="2000" w:type="dxa"/>
          </w:tcPr>
          <w:p w14:paraId="0918CFB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lastRenderedPageBreak/>
              <w:t>Clinical relevance</w:t>
            </w:r>
          </w:p>
        </w:tc>
        <w:tc>
          <w:tcPr>
            <w:tcW w:w="3500" w:type="dxa"/>
          </w:tcPr>
          <w:p w14:paraId="17E49B3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Measurements examined alongside visually identified hatching.</w:t>
            </w:r>
          </w:p>
        </w:tc>
        <w:tc>
          <w:tcPr>
            <w:tcW w:w="4100" w:type="dxa"/>
          </w:tcPr>
          <w:p w14:paraId="38240FC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Association with clinical outcomes (e.g. implantation, live birth) and added value over standard morphological assessment.</w:t>
            </w:r>
          </w:p>
        </w:tc>
      </w:tr>
      <w:tr w:rsidR="00421570" w:rsidRPr="0017344A" w14:paraId="4727B771" w14:textId="77777777">
        <w:trPr>
          <w:cantSplit/>
        </w:trPr>
        <w:tc>
          <w:tcPr>
            <w:tcW w:w="2000" w:type="dxa"/>
          </w:tcPr>
          <w:p w14:paraId="3B76113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Regulatory status</w:t>
            </w:r>
          </w:p>
        </w:tc>
        <w:tc>
          <w:tcPr>
            <w:tcW w:w="3500" w:type="dxa"/>
          </w:tcPr>
          <w:p w14:paraId="3B7EC6F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Research use; outside MDR and AI Act obligations.</w:t>
            </w:r>
          </w:p>
        </w:tc>
        <w:tc>
          <w:tcPr>
            <w:tcW w:w="4100" w:type="dxa"/>
          </w:tcPr>
          <w:p w14:paraId="09A2D73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Qualification and classification; quality management system; clinical investigation; AI Act high-risk requirements where applicable.</w:t>
            </w:r>
          </w:p>
        </w:tc>
      </w:tr>
      <w:tr w:rsidR="00421570" w:rsidRPr="0017344A" w14:paraId="44185D44" w14:textId="77777777">
        <w:trPr>
          <w:cantSplit/>
        </w:trPr>
        <w:tc>
          <w:tcPr>
            <w:tcW w:w="2000" w:type="dxa"/>
          </w:tcPr>
          <w:p w14:paraId="59B54F0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governance</w:t>
            </w:r>
          </w:p>
        </w:tc>
        <w:tc>
          <w:tcPr>
            <w:tcW w:w="3500" w:type="dxa"/>
          </w:tcPr>
          <w:p w14:paraId="1BA6A03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 xml:space="preserve">Analysis within the approved environment at MUMC+.</w:t>
            </w:r>
          </w:p>
        </w:tc>
        <w:tc>
          <w:tcPr>
            <w:tcW w:w="4100" w:type="dxa"/>
          </w:tcPr>
          <w:p w14:paraId="625DD09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Multi-site agreements, DPIAs and a federated evaluation infrastructure.</w:t>
            </w:r>
          </w:p>
        </w:tc>
      </w:tr>
    </w:tbl>
    <w:p w14:paraId="75BED1D1" w14:textId="77777777" w:rsidR="00421570" w:rsidRPr="0017344A" w:rsidRDefault="00421570">
      <w:pPr>
        <w:spacing w:after="60"/>
        <w:rPr>
          <w:rFonts w:ascii="Arial" w:hAnsi="Arial" w:cs="Arial"/>
        </w:rPr>
      </w:pPr>
    </w:p>
    <w:p w14:paraId="34843025" w14:textId="77777777" w:rsidR="00421570" w:rsidRPr="0017344A" w:rsidRDefault="00000000">
      <w:pPr>
        <w:pStyle w:val="Heading1"/>
        <w:rPr>
          <w:rFonts w:ascii="Arial" w:hAnsi="Arial" w:cs="Arial"/>
        </w:rPr>
      </w:pPr>
      <w:bookmarkStart w:id="40" w:name="_Toc241574678"/>
      <w:r w:rsidRPr="0017344A">
        <w:rPr>
          <w:rFonts w:ascii="Arial" w:hAnsi="Arial" w:cs="Arial"/>
        </w:rPr>
        <w:t>7. Open-access web-based guidelines</w:t>
      </w:r>
      <w:bookmarkEnd w:id="40"/>
    </w:p>
    <w:p w14:paraId="4E37C09A" w14:textId="77777777" w:rsidR="00421570" w:rsidRPr="0017344A" w:rsidRDefault="00000000">
      <w:pPr>
        <w:rPr>
          <w:rFonts w:ascii="Arial" w:hAnsi="Arial" w:cs="Arial"/>
        </w:rPr>
      </w:pPr>
      <w:r w:rsidRPr="0017344A">
        <w:rPr>
          <w:rFonts w:ascii="Arial" w:hAnsi="Arial" w:cs="Arial"/>
        </w:rPr>
        <w:t>The accompanying website presents the general workflow and the embryo image-analysis example as open-access guidelines. The two pages follow the same five stages, connecting the general description with its application in the NESTOR study.</w:t>
      </w:r>
    </w:p>
    <w:p w14:paraId="4BE4A086" w14:textId="77777777" w:rsidR="00421570" w:rsidRPr="0017344A" w:rsidRDefault="00000000">
      <w:pPr>
        <w:rPr>
          <w:rFonts w:ascii="Arial" w:hAnsi="Arial" w:cs="Arial"/>
        </w:rPr>
      </w:pPr>
      <w:r w:rsidRPr="0017344A">
        <w:rPr>
          <w:rFonts w:ascii="Arial" w:hAnsi="Arial" w:cs="Arial"/>
        </w:rPr>
        <w:t>To keep the web and document versions aligned, the website is to be extended with the legal and regulatory checkpoints (Table 4), the harmonised minimum practices (Table 5) and the validation checklist (Annex A). Each release of the website should carry a version number and date so that users can cite the version they applied. In line with the NESTOR dissemination commitments, it will remain available for at least two years after the end of the project.</w:t>
      </w:r>
    </w:p>
    <w:p w14:paraId="1CEF0096" w14:textId="77777777" w:rsidR="00421570" w:rsidRPr="0017344A" w:rsidRDefault="00421570">
      <w:pPr>
        <w:rPr>
          <w:rFonts w:ascii="Arial" w:hAnsi="Arial" w:cs="Arial"/>
        </w:rPr>
      </w:pPr>
      <w:hyperlink r:id="rId16">
        <w:r w:rsidRPr="0017344A">
          <w:rPr>
            <w:rFonts w:ascii="Arial" w:hAnsi="Arial" w:cs="Arial"/>
            <w:color w:val="503078"/>
            <w:u w:val="single"/>
          </w:rPr>
          <w:t>NESTOR Clinical Validation Guidelines</w:t>
        </w:r>
      </w:hyperlink>
    </w:p>
    <w:p w14:paraId="17F62E0C" w14:textId="77777777" w:rsidR="00922B2D" w:rsidRDefault="00000000">
      <w:pPr>
        <w:pStyle w:val="Heading1"/>
      </w:pPr>
      <w:r>
        <w:rPr>
          <w:rFonts w:ascii="Arial" w:hAnsi="Arial" w:cs="Arial"/>
        </w:rPr>
        <w:t>8. Limitations and solutions</w:t>
      </w:r>
    </w:p>
    <w:p w14:paraId="5A5134A3" w14:textId="77777777" w:rsidR="00922B2D" w:rsidRDefault="00000000">
      <w:r>
        <w:rPr>
          <w:rFonts w:ascii="Arial" w:hAnsi="Arial" w:cs="Arial"/>
        </w:rPr>
        <w:t>The guidelines in this deliverable are a first, practical synthesis. They draw on one worked example and on a legal landscape that is still changing. This chapter sets out the main limitations of the current work and of data-driven validation in the NESTOR setting more generally, together with the solutions that partners can apply. Table 8 groups them into four areas: evidence and methods, data and harmonisation, legal and regulatory constraints, and organisation and sustainability.</w:t>
      </w:r>
    </w:p>
    <w:p w14:paraId="785D267B" w14:textId="77777777" w:rsidR="00922B2D" w:rsidRDefault="00000000">
      <w:pPr>
        <w:pStyle w:val="Caption"/>
        <w:keepNext/>
        <w:spacing w:before="160" w:after="80"/>
      </w:pPr>
      <w:r>
        <w:rPr>
          <w:rFonts w:ascii="Arial" w:hAnsi="Arial" w:cs="Arial"/>
        </w:rPr>
        <w:t>Table 8. Limitations and solutions</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3100"/>
        <w:gridCol w:w="2700"/>
        <w:gridCol w:w="3800"/>
      </w:tblGrid>
      <w:tr w:rsidR="00922B2D" w14:paraId="736A2F82" w14:textId="77777777">
        <w:trPr>
          <w:cantSplit/>
          <w:tblHeader/>
        </w:trPr>
        <w:tc>
          <w:tcPr>
            <w:tcW w:w="3100" w:type="dxa"/>
            <w:shd w:val="clear" w:color="auto" w:fill="EEE8F3"/>
          </w:tcPr>
          <w:p w14:paraId="289A31A6" w14:textId="77777777" w:rsidR="00922B2D" w:rsidRDefault="00000000">
            <w:pPr>
              <w:spacing w:after="60" w:line="240" w:lineRule="auto"/>
              <w:jc w:val="left"/>
            </w:pPr>
            <w:r>
              <w:rPr>
                <w:rFonts w:ascii="Arial" w:hAnsi="Arial" w:cs="Arial"/>
                <w:b/>
                <w:sz w:val="18"/>
                <w:szCs w:val="18"/>
              </w:rPr>
              <w:t>Limitation</w:t>
            </w:r>
          </w:p>
        </w:tc>
        <w:tc>
          <w:tcPr>
            <w:tcW w:w="2700" w:type="dxa"/>
            <w:shd w:val="clear" w:color="auto" w:fill="EEE8F3"/>
          </w:tcPr>
          <w:p w14:paraId="3E6F759C" w14:textId="77777777" w:rsidR="00922B2D" w:rsidRDefault="00000000">
            <w:pPr>
              <w:spacing w:after="60" w:line="240" w:lineRule="auto"/>
              <w:jc w:val="left"/>
            </w:pPr>
            <w:r>
              <w:rPr>
                <w:rFonts w:ascii="Arial" w:hAnsi="Arial" w:cs="Arial"/>
                <w:b/>
                <w:sz w:val="18"/>
                <w:szCs w:val="18"/>
              </w:rPr>
              <w:t>Consequence</w:t>
            </w:r>
          </w:p>
        </w:tc>
        <w:tc>
          <w:tcPr>
            <w:tcW w:w="3800" w:type="dxa"/>
            <w:shd w:val="clear" w:color="auto" w:fill="EEE8F3"/>
          </w:tcPr>
          <w:p w14:paraId="54FFC660" w14:textId="77777777" w:rsidR="00922B2D" w:rsidRDefault="00000000">
            <w:pPr>
              <w:spacing w:after="60" w:line="240" w:lineRule="auto"/>
              <w:jc w:val="left"/>
            </w:pPr>
            <w:r>
              <w:rPr>
                <w:rFonts w:ascii="Arial" w:hAnsi="Arial" w:cs="Arial"/>
                <w:b/>
                <w:sz w:val="18"/>
                <w:szCs w:val="18"/>
              </w:rPr>
              <w:t>Solution</w:t>
            </w:r>
          </w:p>
        </w:tc>
      </w:tr>
      <w:tr w:rsidR="00922B2D" w14:paraId="58DCAAB5" w14:textId="77777777">
        <w:trPr>
          <w:cantSplit/>
        </w:trPr>
        <w:tc>
          <w:tcPr>
            <w:tcW w:w="9600" w:type="dxa"/>
            <w:gridSpan w:val="3"/>
            <w:shd w:val="clear" w:color="auto" w:fill="F6F2F9"/>
          </w:tcPr>
          <w:p w14:paraId="4BAD77E0" w14:textId="77777777" w:rsidR="00922B2D" w:rsidRDefault="00000000">
            <w:pPr>
              <w:keepNext/>
              <w:spacing w:after="60" w:line="240" w:lineRule="auto"/>
              <w:jc w:val="left"/>
            </w:pPr>
            <w:r>
              <w:rPr>
                <w:rFonts w:ascii="Arial" w:hAnsi="Arial" w:cs="Arial"/>
                <w:b/>
                <w:sz w:val="18"/>
                <w:szCs w:val="18"/>
              </w:rPr>
              <w:t>Evidence and methods</w:t>
            </w:r>
          </w:p>
        </w:tc>
      </w:tr>
      <w:tr w:rsidR="00922B2D" w14:paraId="0B6A9CBE" w14:textId="77777777">
        <w:trPr>
          <w:cantSplit/>
        </w:trPr>
        <w:tc>
          <w:tcPr>
            <w:tcW w:w="3100" w:type="dxa"/>
          </w:tcPr>
          <w:p w14:paraId="248DD5E5" w14:textId="77777777" w:rsidR="00922B2D" w:rsidRDefault="00000000">
            <w:pPr>
              <w:spacing w:after="60" w:line="240" w:lineRule="auto"/>
              <w:jc w:val="left"/>
            </w:pPr>
            <w:r>
              <w:rPr>
                <w:rFonts w:ascii="Arial" w:hAnsi="Arial" w:cs="Arial"/>
                <w:sz w:val="18"/>
                <w:szCs w:val="18"/>
              </w:rPr>
              <w:t>The guidelines are illustrated by a single worked example from one research strand (embryo image analysis).</w:t>
            </w:r>
          </w:p>
        </w:tc>
        <w:tc>
          <w:tcPr>
            <w:tcW w:w="2700" w:type="dxa"/>
          </w:tcPr>
          <w:p w14:paraId="70537A7F" w14:textId="77777777" w:rsidR="00922B2D" w:rsidRDefault="00000000">
            <w:pPr>
              <w:spacing w:after="60" w:line="240" w:lineRule="auto"/>
              <w:jc w:val="left"/>
            </w:pPr>
            <w:r>
              <w:rPr>
                <w:rFonts w:ascii="Arial" w:hAnsi="Arial" w:cs="Arial"/>
                <w:sz w:val="18"/>
                <w:szCs w:val="18"/>
              </w:rPr>
              <w:t>Guidance for genomic, uterine-health and feto-maternal applications is less concrete.</w:t>
            </w:r>
          </w:p>
        </w:tc>
        <w:tc>
          <w:tcPr>
            <w:tcW w:w="3800" w:type="dxa"/>
          </w:tcPr>
          <w:p w14:paraId="4D8F3ED7" w14:textId="77777777" w:rsidR="00922B2D" w:rsidRDefault="00000000">
            <w:pPr>
              <w:spacing w:after="60" w:line="240" w:lineRule="auto"/>
              <w:jc w:val="left"/>
            </w:pPr>
            <w:r>
              <w:rPr>
                <w:rFonts w:ascii="Arial" w:hAnsi="Arial" w:cs="Arial"/>
                <w:sz w:val="18"/>
                <w:szCs w:val="18"/>
              </w:rPr>
              <w:t>The workflow is written to be domain-neutral. Worked examples for non-invasive genomic methods and feto-maternal applications should be added, building on NEO-LIFE (Chapter 10).</w:t>
            </w:r>
          </w:p>
        </w:tc>
      </w:tr>
      <w:tr w:rsidR="00922B2D" w14:paraId="24F290E3" w14:textId="77777777">
        <w:trPr>
          <w:cantSplit/>
        </w:trPr>
        <w:tc>
          <w:tcPr>
            <w:tcW w:w="3100" w:type="dxa"/>
          </w:tcPr>
          <w:p w14:paraId="140BE850" w14:textId="77777777" w:rsidR="00922B2D" w:rsidRDefault="00000000">
            <w:pPr>
              <w:spacing w:after="60" w:line="240" w:lineRule="auto"/>
              <w:jc w:val="left"/>
            </w:pPr>
            <w:r>
              <w:rPr>
                <w:rFonts w:ascii="Arial" w:hAnsi="Arial" w:cs="Arial"/>
                <w:sz w:val="18"/>
                <w:szCs w:val="18"/>
              </w:rPr>
              <w:t>The embryo study is at Stage A: segmentation performance was not quantified and embryo-level exclusion relied on qualitative judgement.</w:t>
            </w:r>
          </w:p>
        </w:tc>
        <w:tc>
          <w:tcPr>
            <w:tcW w:w="2700" w:type="dxa"/>
          </w:tcPr>
          <w:p w14:paraId="27DBFCE3" w14:textId="77777777" w:rsidR="00922B2D" w:rsidRDefault="00000000">
            <w:pPr>
              <w:spacing w:after="60" w:line="240" w:lineRule="auto"/>
              <w:jc w:val="left"/>
            </w:pPr>
            <w:r>
              <w:rPr>
                <w:rFonts w:ascii="Arial" w:hAnsi="Arial" w:cs="Arial"/>
                <w:sz w:val="18"/>
                <w:szCs w:val="18"/>
              </w:rPr>
              <w:t>The findings cannot support clinical claims, and exclusions may bias the retained dataset.</w:t>
            </w:r>
          </w:p>
        </w:tc>
        <w:tc>
          <w:tcPr>
            <w:tcW w:w="3800" w:type="dxa"/>
          </w:tcPr>
          <w:p w14:paraId="3D81504E" w14:textId="77777777" w:rsidR="00922B2D" w:rsidRDefault="00000000">
            <w:pPr>
              <w:spacing w:after="60" w:line="240" w:lineRule="auto"/>
              <w:jc w:val="left"/>
            </w:pPr>
            <w:r>
              <w:rPr>
                <w:rFonts w:ascii="Arial" w:hAnsi="Arial" w:cs="Arial"/>
                <w:sz w:val="18"/>
                <w:szCs w:val="18"/>
              </w:rPr>
              <w:t>Establish expert reference annotations, report per-structure performance with confidence intervals, and pre-specify exclusion criteria with a second reviewer (Table 7).</w:t>
            </w:r>
          </w:p>
        </w:tc>
      </w:tr>
      <w:tr w:rsidR="00922B2D" w14:paraId="44A3F6AE" w14:textId="77777777">
        <w:trPr>
          <w:cantSplit/>
        </w:trPr>
        <w:tc>
          <w:tcPr>
            <w:tcW w:w="3100" w:type="dxa"/>
          </w:tcPr>
          <w:p w14:paraId="08AD120F" w14:textId="77777777" w:rsidR="00922B2D" w:rsidRDefault="00000000">
            <w:pPr>
              <w:spacing w:after="60" w:line="240" w:lineRule="auto"/>
              <w:jc w:val="left"/>
            </w:pPr>
            <w:r>
              <w:rPr>
                <w:rFonts w:ascii="Arial" w:hAnsi="Arial" w:cs="Arial"/>
                <w:sz w:val="18"/>
                <w:szCs w:val="18"/>
              </w:rPr>
              <w:t>Embryo assessment is inherently subjective, and reference annotations vary between embryologists.</w:t>
            </w:r>
          </w:p>
        </w:tc>
        <w:tc>
          <w:tcPr>
            <w:tcW w:w="2700" w:type="dxa"/>
          </w:tcPr>
          <w:p w14:paraId="729A88C3" w14:textId="77777777" w:rsidR="00922B2D" w:rsidRDefault="00000000">
            <w:pPr>
              <w:spacing w:after="60" w:line="240" w:lineRule="auto"/>
              <w:jc w:val="left"/>
            </w:pPr>
            <w:r>
              <w:rPr>
                <w:rFonts w:ascii="Arial" w:hAnsi="Arial" w:cs="Arial"/>
                <w:sz w:val="18"/>
                <w:szCs w:val="18"/>
              </w:rPr>
              <w:t>Apparent model errors may partly reflect disagreement in the reference standard.</w:t>
            </w:r>
          </w:p>
        </w:tc>
        <w:tc>
          <w:tcPr>
            <w:tcW w:w="3800" w:type="dxa"/>
          </w:tcPr>
          <w:p w14:paraId="2D7D8D56" w14:textId="77777777" w:rsidR="00922B2D" w:rsidRDefault="00000000">
            <w:pPr>
              <w:spacing w:after="60" w:line="240" w:lineRule="auto"/>
              <w:jc w:val="left"/>
            </w:pPr>
            <w:r>
              <w:rPr>
                <w:rFonts w:ascii="Arial" w:hAnsi="Arial" w:cs="Arial"/>
                <w:sz w:val="18"/>
                <w:szCs w:val="18"/>
              </w:rPr>
              <w:t>Use a written annotation protocol based on the Istanbul consensus update [21], double-annotate a subset and report inter-observer agreement. AI-assisted annotation can reduce workload but must itself be validated.</w:t>
            </w:r>
          </w:p>
        </w:tc>
      </w:tr>
      <w:tr w:rsidR="00922B2D" w14:paraId="1C5963CC" w14:textId="77777777">
        <w:trPr>
          <w:cantSplit/>
        </w:trPr>
        <w:tc>
          <w:tcPr>
            <w:tcW w:w="3100" w:type="dxa"/>
          </w:tcPr>
          <w:p w14:paraId="613B5444" w14:textId="77777777" w:rsidR="00922B2D" w:rsidRDefault="00000000">
            <w:pPr>
              <w:spacing w:after="60" w:line="240" w:lineRule="auto"/>
              <w:jc w:val="left"/>
            </w:pPr>
            <w:r>
              <w:rPr>
                <w:rFonts w:ascii="Arial" w:hAnsi="Arial" w:cs="Arial"/>
                <w:sz w:val="18"/>
                <w:szCs w:val="18"/>
              </w:rPr>
              <w:lastRenderedPageBreak/>
              <w:t>The guidelines have not yet been tested end to end in a multi-site study.</w:t>
            </w:r>
          </w:p>
        </w:tc>
        <w:tc>
          <w:tcPr>
            <w:tcW w:w="2700" w:type="dxa"/>
          </w:tcPr>
          <w:p w14:paraId="3C1C937D" w14:textId="77777777" w:rsidR="00922B2D" w:rsidRDefault="00000000">
            <w:pPr>
              <w:spacing w:after="60" w:line="240" w:lineRule="auto"/>
              <w:jc w:val="left"/>
            </w:pPr>
            <w:r>
              <w:rPr>
                <w:rFonts w:ascii="Arial" w:hAnsi="Arial" w:cs="Arial"/>
                <w:sz w:val="18"/>
                <w:szCs w:val="18"/>
              </w:rPr>
              <w:t>Practical obstacles may emerge only in use.</w:t>
            </w:r>
          </w:p>
        </w:tc>
        <w:tc>
          <w:tcPr>
            <w:tcW w:w="3800" w:type="dxa"/>
          </w:tcPr>
          <w:p w14:paraId="2F52F3A2" w14:textId="77777777" w:rsidR="00922B2D" w:rsidRDefault="00000000">
            <w:pPr>
              <w:spacing w:after="60" w:line="240" w:lineRule="auto"/>
              <w:jc w:val="left"/>
            </w:pPr>
            <w:r>
              <w:rPr>
                <w:rFonts w:ascii="Arial" w:hAnsi="Arial" w:cs="Arial"/>
                <w:sz w:val="18"/>
                <w:szCs w:val="18"/>
              </w:rPr>
              <w:t>Pilot the workflow and checklist on the harmonised TLM data collected at AN, and feed lessons learned back into the web guidelines.</w:t>
            </w:r>
          </w:p>
        </w:tc>
      </w:tr>
      <w:tr w:rsidR="00922B2D" w14:paraId="05562189" w14:textId="77777777">
        <w:trPr>
          <w:cantSplit/>
        </w:trPr>
        <w:tc>
          <w:tcPr>
            <w:tcW w:w="9600" w:type="dxa"/>
            <w:gridSpan w:val="3"/>
            <w:shd w:val="clear" w:color="auto" w:fill="F6F2F9"/>
          </w:tcPr>
          <w:p w14:paraId="2C5649B3" w14:textId="77777777" w:rsidR="00922B2D" w:rsidRDefault="00000000">
            <w:pPr>
              <w:keepNext/>
              <w:spacing w:after="60" w:line="240" w:lineRule="auto"/>
              <w:jc w:val="left"/>
            </w:pPr>
            <w:r>
              <w:rPr>
                <w:rFonts w:ascii="Arial" w:hAnsi="Arial" w:cs="Arial"/>
                <w:b/>
                <w:sz w:val="18"/>
                <w:szCs w:val="18"/>
              </w:rPr>
              <w:t>Data and harmonisation</w:t>
            </w:r>
          </w:p>
        </w:tc>
      </w:tr>
      <w:tr w:rsidR="00922B2D" w14:paraId="7F8BF07F" w14:textId="77777777">
        <w:trPr>
          <w:cantSplit/>
        </w:trPr>
        <w:tc>
          <w:tcPr>
            <w:tcW w:w="3100" w:type="dxa"/>
          </w:tcPr>
          <w:p w14:paraId="54513F83" w14:textId="77777777" w:rsidR="00922B2D" w:rsidRDefault="00000000">
            <w:pPr>
              <w:spacing w:after="60" w:line="240" w:lineRule="auto"/>
              <w:jc w:val="left"/>
            </w:pPr>
            <w:r>
              <w:rPr>
                <w:rFonts w:ascii="Arial" w:hAnsi="Arial" w:cs="Arial"/>
                <w:sz w:val="18"/>
                <w:szCs w:val="18"/>
              </w:rPr>
              <w:t>Data come from a single clinical setting and time-lapse platform.</w:t>
            </w:r>
          </w:p>
        </w:tc>
        <w:tc>
          <w:tcPr>
            <w:tcW w:w="2700" w:type="dxa"/>
          </w:tcPr>
          <w:p w14:paraId="4BFE6E03" w14:textId="77777777" w:rsidR="00922B2D" w:rsidRDefault="00000000">
            <w:pPr>
              <w:spacing w:after="60" w:line="240" w:lineRule="auto"/>
              <w:jc w:val="left"/>
            </w:pPr>
            <w:r>
              <w:rPr>
                <w:rFonts w:ascii="Arial" w:hAnsi="Arial" w:cs="Arial"/>
                <w:sz w:val="18"/>
                <w:szCs w:val="18"/>
              </w:rPr>
              <w:t>Generalisability to other clinics, platforms and populations is unknown.</w:t>
            </w:r>
          </w:p>
        </w:tc>
        <w:tc>
          <w:tcPr>
            <w:tcW w:w="3800" w:type="dxa"/>
          </w:tcPr>
          <w:p w14:paraId="7ACF58BB" w14:textId="77777777" w:rsidR="00922B2D" w:rsidRDefault="00000000">
            <w:pPr>
              <w:spacing w:after="60" w:line="240" w:lineRule="auto"/>
              <w:jc w:val="left"/>
            </w:pPr>
            <w:r>
              <w:rPr>
                <w:rFonts w:ascii="Arial" w:hAnsi="Arial" w:cs="Arial"/>
                <w:sz w:val="18"/>
                <w:szCs w:val="18"/>
              </w:rPr>
              <w:t>Run site-held-out validation across partner clinics using the harmonised minimum practices (Table 5) and federated evaluation (Section 4.4).</w:t>
            </w:r>
          </w:p>
        </w:tc>
      </w:tr>
      <w:tr w:rsidR="00922B2D" w14:paraId="6DF87B35" w14:textId="77777777">
        <w:trPr>
          <w:cantSplit/>
        </w:trPr>
        <w:tc>
          <w:tcPr>
            <w:tcW w:w="3100" w:type="dxa"/>
          </w:tcPr>
          <w:p w14:paraId="36962E00" w14:textId="77777777" w:rsidR="00922B2D" w:rsidRDefault="00000000">
            <w:pPr>
              <w:spacing w:after="60" w:line="240" w:lineRule="auto"/>
              <w:jc w:val="left"/>
            </w:pPr>
            <w:r>
              <w:rPr>
                <w:rFonts w:ascii="Arial" w:hAnsi="Arial" w:cs="Arial"/>
                <w:sz w:val="18"/>
                <w:szCs w:val="18"/>
              </w:rPr>
              <w:t>Datasets are small and imbalanced, particularly for rare outcomes and subgroups such as patients of advanced reproductive age.</w:t>
            </w:r>
          </w:p>
        </w:tc>
        <w:tc>
          <w:tcPr>
            <w:tcW w:w="2700" w:type="dxa"/>
          </w:tcPr>
          <w:p w14:paraId="3A6F8533" w14:textId="77777777" w:rsidR="00922B2D" w:rsidRDefault="00000000">
            <w:pPr>
              <w:spacing w:after="60" w:line="240" w:lineRule="auto"/>
              <w:jc w:val="left"/>
            </w:pPr>
            <w:r>
              <w:rPr>
                <w:rFonts w:ascii="Arial" w:hAnsi="Arial" w:cs="Arial"/>
                <w:sz w:val="18"/>
                <w:szCs w:val="18"/>
              </w:rPr>
              <w:t>Models may perform worse in exactly the groups NESTOR aims to serve.</w:t>
            </w:r>
          </w:p>
        </w:tc>
        <w:tc>
          <w:tcPr>
            <w:tcW w:w="3800" w:type="dxa"/>
          </w:tcPr>
          <w:p w14:paraId="6355CF24" w14:textId="77777777" w:rsidR="00922B2D" w:rsidRDefault="00000000">
            <w:pPr>
              <w:spacing w:after="60" w:line="240" w:lineRule="auto"/>
              <w:jc w:val="left"/>
            </w:pPr>
            <w:r>
              <w:rPr>
                <w:rFonts w:ascii="Arial" w:hAnsi="Arial" w:cs="Arial"/>
                <w:sz w:val="18"/>
                <w:szCs w:val="18"/>
              </w:rPr>
              <w:t>Pool evidence across sites, report subgroup performance and consider synthetic data for training [4]. Synthetic data can support development but cannot replace validation on real patient data.</w:t>
            </w:r>
          </w:p>
        </w:tc>
      </w:tr>
      <w:tr w:rsidR="00922B2D" w14:paraId="2B56E1F6" w14:textId="77777777">
        <w:trPr>
          <w:cantSplit/>
        </w:trPr>
        <w:tc>
          <w:tcPr>
            <w:tcW w:w="3100" w:type="dxa"/>
          </w:tcPr>
          <w:p w14:paraId="709B8601" w14:textId="77777777" w:rsidR="00922B2D" w:rsidRDefault="00000000">
            <w:pPr>
              <w:spacing w:after="60" w:line="240" w:lineRule="auto"/>
              <w:jc w:val="left"/>
            </w:pPr>
            <w:r>
              <w:rPr>
                <w:rFonts w:ascii="Arial" w:hAnsi="Arial" w:cs="Arial"/>
                <w:sz w:val="18"/>
                <w:szCs w:val="18"/>
              </w:rPr>
              <w:t>IT infrastructure and technical capacity differ between partners, especially smaller clinics.</w:t>
            </w:r>
          </w:p>
        </w:tc>
        <w:tc>
          <w:tcPr>
            <w:tcW w:w="2700" w:type="dxa"/>
          </w:tcPr>
          <w:p w14:paraId="1970C7FB" w14:textId="77777777" w:rsidR="00922B2D" w:rsidRDefault="00000000">
            <w:pPr>
              <w:spacing w:after="60" w:line="240" w:lineRule="auto"/>
              <w:jc w:val="left"/>
            </w:pPr>
            <w:r>
              <w:rPr>
                <w:rFonts w:ascii="Arial" w:hAnsi="Arial" w:cs="Arial"/>
                <w:sz w:val="18"/>
                <w:szCs w:val="18"/>
              </w:rPr>
              <w:t>Federated evaluation is harder to run where local capacity is limited.</w:t>
            </w:r>
          </w:p>
        </w:tc>
        <w:tc>
          <w:tcPr>
            <w:tcW w:w="3800" w:type="dxa"/>
          </w:tcPr>
          <w:p w14:paraId="16B4A627" w14:textId="77777777" w:rsidR="00922B2D" w:rsidRDefault="00000000">
            <w:pPr>
              <w:spacing w:after="60" w:line="240" w:lineRule="auto"/>
              <w:jc w:val="left"/>
            </w:pPr>
            <w:r>
              <w:rPr>
                <w:rFonts w:ascii="Arial" w:hAnsi="Arial" w:cs="Arial"/>
                <w:sz w:val="18"/>
                <w:szCs w:val="18"/>
              </w:rPr>
              <w:t>Use containerised, versioned analysis pipelines, the data-stewardship training and interoperability work of T3.4, and a shared SOP set maintained on the website.</w:t>
            </w:r>
          </w:p>
        </w:tc>
      </w:tr>
      <w:tr w:rsidR="00922B2D" w14:paraId="67572A49" w14:textId="77777777">
        <w:trPr>
          <w:cantSplit/>
        </w:trPr>
        <w:tc>
          <w:tcPr>
            <w:tcW w:w="9600" w:type="dxa"/>
            <w:gridSpan w:val="3"/>
            <w:shd w:val="clear" w:color="auto" w:fill="F6F2F9"/>
          </w:tcPr>
          <w:p w14:paraId="3F277242" w14:textId="77777777" w:rsidR="00922B2D" w:rsidRDefault="00000000">
            <w:pPr>
              <w:keepNext/>
              <w:spacing w:after="60" w:line="240" w:lineRule="auto"/>
              <w:jc w:val="left"/>
            </w:pPr>
            <w:r>
              <w:rPr>
                <w:rFonts w:ascii="Arial" w:hAnsi="Arial" w:cs="Arial"/>
                <w:b/>
                <w:sz w:val="18"/>
                <w:szCs w:val="18"/>
              </w:rPr>
              <w:t>Legal and regulatory</w:t>
            </w:r>
          </w:p>
        </w:tc>
      </w:tr>
      <w:tr w:rsidR="00922B2D" w14:paraId="64DCAA80" w14:textId="77777777">
        <w:trPr>
          <w:cantSplit/>
        </w:trPr>
        <w:tc>
          <w:tcPr>
            <w:tcW w:w="3100" w:type="dxa"/>
          </w:tcPr>
          <w:p w14:paraId="15FE2A55" w14:textId="77777777" w:rsidR="00922B2D" w:rsidRDefault="00000000">
            <w:pPr>
              <w:spacing w:after="60" w:line="240" w:lineRule="auto"/>
              <w:jc w:val="left"/>
            </w:pPr>
            <w:r>
              <w:rPr>
                <w:rFonts w:ascii="Arial" w:hAnsi="Arial" w:cs="Arial"/>
                <w:sz w:val="18"/>
                <w:szCs w:val="18"/>
              </w:rPr>
              <w:t>National implementations of the GDPR, ethics review and ART law differ between the Netherlands, Estonia and Greece.</w:t>
            </w:r>
          </w:p>
        </w:tc>
        <w:tc>
          <w:tcPr>
            <w:tcW w:w="2700" w:type="dxa"/>
          </w:tcPr>
          <w:p w14:paraId="52AAC35D" w14:textId="77777777" w:rsidR="00922B2D" w:rsidRDefault="00000000">
            <w:pPr>
              <w:spacing w:after="60" w:line="240" w:lineRule="auto"/>
              <w:jc w:val="left"/>
            </w:pPr>
            <w:r>
              <w:rPr>
                <w:rFonts w:ascii="Arial" w:hAnsi="Arial" w:cs="Arial"/>
                <w:sz w:val="18"/>
                <w:szCs w:val="18"/>
              </w:rPr>
              <w:t>Cross-border studies face delays and legal uncertainty.</w:t>
            </w:r>
          </w:p>
        </w:tc>
        <w:tc>
          <w:tcPr>
            <w:tcW w:w="3800" w:type="dxa"/>
          </w:tcPr>
          <w:p w14:paraId="7C15A15F" w14:textId="77777777" w:rsidR="00922B2D" w:rsidRDefault="00000000">
            <w:pPr>
              <w:spacing w:after="60" w:line="240" w:lineRule="auto"/>
              <w:jc w:val="left"/>
            </w:pPr>
            <w:r>
              <w:rPr>
                <w:rFonts w:ascii="Arial" w:hAnsi="Arial" w:cs="Arial"/>
                <w:sz w:val="18"/>
                <w:szCs w:val="18"/>
              </w:rPr>
              <w:t>Adopt model-to-data evaluation by default, use a common legal documentation set (Table 5) and standard agreement templates, and involve data protection officers and ethics committees early. Draw on the Advisory Board’s privacy-law expertise.</w:t>
            </w:r>
          </w:p>
        </w:tc>
      </w:tr>
      <w:tr w:rsidR="00922B2D" w14:paraId="4015D1B2" w14:textId="77777777">
        <w:trPr>
          <w:cantSplit/>
        </w:trPr>
        <w:tc>
          <w:tcPr>
            <w:tcW w:w="3100" w:type="dxa"/>
          </w:tcPr>
          <w:p w14:paraId="0085ED69" w14:textId="77777777" w:rsidR="00922B2D" w:rsidRDefault="00000000">
            <w:pPr>
              <w:spacing w:after="60" w:line="240" w:lineRule="auto"/>
              <w:jc w:val="left"/>
            </w:pPr>
            <w:r>
              <w:rPr>
                <w:rFonts w:ascii="Arial" w:hAnsi="Arial" w:cs="Arial"/>
                <w:sz w:val="18"/>
                <w:szCs w:val="18"/>
              </w:rPr>
              <w:t>The in-house exemption does not allow a tool to be transferred to another legal entity.</w:t>
            </w:r>
          </w:p>
        </w:tc>
        <w:tc>
          <w:tcPr>
            <w:tcW w:w="2700" w:type="dxa"/>
          </w:tcPr>
          <w:p w14:paraId="2CF180C1" w14:textId="77777777" w:rsidR="00922B2D" w:rsidRDefault="00000000">
            <w:pPr>
              <w:spacing w:after="60" w:line="240" w:lineRule="auto"/>
              <w:jc w:val="left"/>
            </w:pPr>
            <w:r>
              <w:rPr>
                <w:rFonts w:ascii="Arial" w:hAnsi="Arial" w:cs="Arial"/>
                <w:sz w:val="18"/>
                <w:szCs w:val="18"/>
              </w:rPr>
              <w:t>Validated tools cannot simply be shared between partner clinics.</w:t>
            </w:r>
          </w:p>
        </w:tc>
        <w:tc>
          <w:tcPr>
            <w:tcW w:w="3800" w:type="dxa"/>
          </w:tcPr>
          <w:p w14:paraId="47E53B04" w14:textId="77777777" w:rsidR="00922B2D" w:rsidRDefault="00000000">
            <w:pPr>
              <w:spacing w:after="60" w:line="240" w:lineRule="auto"/>
              <w:jc w:val="left"/>
            </w:pPr>
            <w:r>
              <w:rPr>
                <w:rFonts w:ascii="Arial" w:hAnsi="Arial" w:cs="Arial"/>
                <w:sz w:val="18"/>
                <w:szCs w:val="18"/>
              </w:rPr>
              <w:t>Plan the regulatory route early, draw on SME experience with quality management and CE marking, and follow the MDR/IVDR revision [19].</w:t>
            </w:r>
          </w:p>
        </w:tc>
      </w:tr>
      <w:tr w:rsidR="00922B2D" w14:paraId="394DBA98" w14:textId="77777777">
        <w:trPr>
          <w:cantSplit/>
        </w:trPr>
        <w:tc>
          <w:tcPr>
            <w:tcW w:w="3100" w:type="dxa"/>
          </w:tcPr>
          <w:p w14:paraId="201A7587" w14:textId="77777777" w:rsidR="00922B2D" w:rsidRDefault="00000000">
            <w:pPr>
              <w:spacing w:after="60" w:line="240" w:lineRule="auto"/>
              <w:jc w:val="left"/>
            </w:pPr>
            <w:r>
              <w:rPr>
                <w:rFonts w:ascii="Arial" w:hAnsi="Arial" w:cs="Arial"/>
                <w:sz w:val="18"/>
                <w:szCs w:val="18"/>
              </w:rPr>
              <w:t>The regulatory landscape is moving: the AI Act has been amended, the MDR/IVDR revision is pending, and the SoHO and EHDS rules are being phased in.</w:t>
            </w:r>
          </w:p>
        </w:tc>
        <w:tc>
          <w:tcPr>
            <w:tcW w:w="2700" w:type="dxa"/>
          </w:tcPr>
          <w:p w14:paraId="321B8A0B" w14:textId="77777777" w:rsidR="00922B2D" w:rsidRDefault="00000000">
            <w:pPr>
              <w:spacing w:after="60" w:line="240" w:lineRule="auto"/>
              <w:jc w:val="left"/>
            </w:pPr>
            <w:r>
              <w:rPr>
                <w:rFonts w:ascii="Arial" w:hAnsi="Arial" w:cs="Arial"/>
                <w:sz w:val="18"/>
                <w:szCs w:val="18"/>
              </w:rPr>
              <w:t>Parts of Chapter 3 may date quickly.</w:t>
            </w:r>
          </w:p>
        </w:tc>
        <w:tc>
          <w:tcPr>
            <w:tcW w:w="3800" w:type="dxa"/>
          </w:tcPr>
          <w:p w14:paraId="658BA534" w14:textId="77777777" w:rsidR="00922B2D" w:rsidRDefault="00000000">
            <w:pPr>
              <w:spacing w:after="60" w:line="240" w:lineRule="auto"/>
              <w:jc w:val="left"/>
            </w:pPr>
            <w:r>
              <w:rPr>
                <w:rFonts w:ascii="Arial" w:hAnsi="Arial" w:cs="Arial"/>
                <w:sz w:val="18"/>
                <w:szCs w:val="18"/>
              </w:rPr>
              <w:t>Keep the web guidelines versioned and dated, and review the regulatory content at least annually and whenever a major instrument changes.</w:t>
            </w:r>
          </w:p>
        </w:tc>
      </w:tr>
      <w:tr w:rsidR="00922B2D" w14:paraId="6822ADE7" w14:textId="77777777">
        <w:trPr>
          <w:cantSplit/>
        </w:trPr>
        <w:tc>
          <w:tcPr>
            <w:tcW w:w="9600" w:type="dxa"/>
            <w:gridSpan w:val="3"/>
            <w:shd w:val="clear" w:color="auto" w:fill="F6F2F9"/>
          </w:tcPr>
          <w:p w14:paraId="75FC38F9" w14:textId="77777777" w:rsidR="00922B2D" w:rsidRDefault="00000000">
            <w:pPr>
              <w:keepNext/>
              <w:spacing w:after="60" w:line="240" w:lineRule="auto"/>
              <w:jc w:val="left"/>
            </w:pPr>
            <w:r>
              <w:rPr>
                <w:rFonts w:ascii="Arial" w:hAnsi="Arial" w:cs="Arial"/>
                <w:b/>
                <w:sz w:val="18"/>
                <w:szCs w:val="18"/>
              </w:rPr>
              <w:t>Organisation and sustainability</w:t>
            </w:r>
          </w:p>
        </w:tc>
      </w:tr>
      <w:tr w:rsidR="00922B2D" w14:paraId="2B6333C8" w14:textId="77777777">
        <w:trPr>
          <w:cantSplit/>
        </w:trPr>
        <w:tc>
          <w:tcPr>
            <w:tcW w:w="3100" w:type="dxa"/>
          </w:tcPr>
          <w:p w14:paraId="15766417" w14:textId="77777777" w:rsidR="00922B2D" w:rsidRDefault="00000000">
            <w:pPr>
              <w:spacing w:after="60" w:line="240" w:lineRule="auto"/>
              <w:jc w:val="left"/>
            </w:pPr>
            <w:r>
              <w:rPr>
                <w:rFonts w:ascii="Arial" w:hAnsi="Arial" w:cs="Arial"/>
                <w:sz w:val="18"/>
                <w:szCs w:val="18"/>
              </w:rPr>
              <w:t>Validation know-how is concentrated in the individuals who took part in secondments.</w:t>
            </w:r>
          </w:p>
        </w:tc>
        <w:tc>
          <w:tcPr>
            <w:tcW w:w="2700" w:type="dxa"/>
          </w:tcPr>
          <w:p w14:paraId="79EA92C7" w14:textId="77777777" w:rsidR="00922B2D" w:rsidRDefault="00000000">
            <w:pPr>
              <w:spacing w:after="60" w:line="240" w:lineRule="auto"/>
              <w:jc w:val="left"/>
            </w:pPr>
            <w:r>
              <w:rPr>
                <w:rFonts w:ascii="Arial" w:hAnsi="Arial" w:cs="Arial"/>
                <w:sz w:val="18"/>
                <w:szCs w:val="18"/>
              </w:rPr>
              <w:t>Practice may erode once secondments and the project end.</w:t>
            </w:r>
          </w:p>
        </w:tc>
        <w:tc>
          <w:tcPr>
            <w:tcW w:w="3800" w:type="dxa"/>
          </w:tcPr>
          <w:p w14:paraId="370DE6FC" w14:textId="77777777" w:rsidR="00922B2D" w:rsidRDefault="00000000">
            <w:pPr>
              <w:spacing w:after="60" w:line="240" w:lineRule="auto"/>
              <w:jc w:val="left"/>
            </w:pPr>
            <w:r>
              <w:rPr>
                <w:rFonts w:ascii="Arial" w:hAnsi="Arial" w:cs="Arial"/>
                <w:sz w:val="18"/>
                <w:szCs w:val="18"/>
              </w:rPr>
              <w:t>Keep written SOPs, the open website and training materials up to date, and continue staff exchanges through NEO-LIFE.</w:t>
            </w:r>
          </w:p>
        </w:tc>
      </w:tr>
      <w:tr w:rsidR="00922B2D" w14:paraId="3EFDC8DA" w14:textId="77777777">
        <w:trPr>
          <w:cantSplit/>
        </w:trPr>
        <w:tc>
          <w:tcPr>
            <w:tcW w:w="3100" w:type="dxa"/>
          </w:tcPr>
          <w:p w14:paraId="17C63828" w14:textId="77777777" w:rsidR="00922B2D" w:rsidRDefault="00000000">
            <w:pPr>
              <w:spacing w:after="60" w:line="240" w:lineRule="auto"/>
              <w:jc w:val="left"/>
            </w:pPr>
            <w:r>
              <w:rPr>
                <w:rFonts w:ascii="Arial" w:hAnsi="Arial" w:cs="Arial"/>
                <w:sz w:val="18"/>
                <w:szCs w:val="18"/>
              </w:rPr>
              <w:t>There is pressure to communicate promising results to clinics and patients early.</w:t>
            </w:r>
          </w:p>
        </w:tc>
        <w:tc>
          <w:tcPr>
            <w:tcW w:w="2700" w:type="dxa"/>
          </w:tcPr>
          <w:p w14:paraId="2A65085C" w14:textId="77777777" w:rsidR="00922B2D" w:rsidRDefault="00000000">
            <w:pPr>
              <w:spacing w:after="60" w:line="240" w:lineRule="auto"/>
              <w:jc w:val="left"/>
            </w:pPr>
            <w:r>
              <w:rPr>
                <w:rFonts w:ascii="Arial" w:hAnsi="Arial" w:cs="Arial"/>
                <w:sz w:val="18"/>
                <w:szCs w:val="18"/>
              </w:rPr>
              <w:t>Research-stage findings risk being presented as clinical benefit.</w:t>
            </w:r>
          </w:p>
        </w:tc>
        <w:tc>
          <w:tcPr>
            <w:tcW w:w="3800" w:type="dxa"/>
          </w:tcPr>
          <w:p w14:paraId="00FE833F" w14:textId="77777777" w:rsidR="00922B2D" w:rsidRDefault="00000000">
            <w:pPr>
              <w:spacing w:after="60" w:line="240" w:lineRule="auto"/>
              <w:jc w:val="left"/>
            </w:pPr>
            <w:r>
              <w:rPr>
                <w:rFonts w:ascii="Arial" w:hAnsi="Arial" w:cs="Arial"/>
                <w:sz w:val="18"/>
                <w:szCs w:val="18"/>
              </w:rPr>
              <w:t>State the stage of evidence in every output (Table 2), follow reporting guidelines [24, 25, 26], and involve patient representatives in communication.</w:t>
            </w:r>
          </w:p>
        </w:tc>
      </w:tr>
    </w:tbl>
    <w:p w14:paraId="290F192E" w14:textId="77777777" w:rsidR="00922B2D" w:rsidRDefault="00922B2D">
      <w:pPr>
        <w:spacing w:after="60"/>
      </w:pPr>
    </w:p>
    <w:p w14:paraId="4345D1AD" w14:textId="77777777" w:rsidR="00421570" w:rsidRPr="0017344A" w:rsidRDefault="00000000">
      <w:pPr>
        <w:pStyle w:val="Heading1"/>
        <w:rPr>
          <w:rFonts w:ascii="Arial" w:hAnsi="Arial" w:cs="Arial"/>
        </w:rPr>
      </w:pPr>
      <w:bookmarkStart w:id="41" w:name="_Toc241574679"/>
      <w:r w:rsidRPr="0017344A">
        <w:rPr>
          <w:rFonts w:ascii="Arial" w:hAnsi="Arial" w:cs="Arial"/>
        </w:rPr>
        <w:t>9. Conclusions and next steps</w:t>
      </w:r>
      <w:bookmarkEnd w:id="41"/>
    </w:p>
    <w:p w14:paraId="6889BD20" w14:textId="77777777" w:rsidR="00922B2D" w:rsidRDefault="00000000">
      <w:r>
        <w:rPr>
          <w:rFonts w:ascii="Arial" w:hAnsi="Arial" w:cs="Arial"/>
        </w:rPr>
        <w:t xml:space="preserve">D3.3 provides NESTOR partners, and the wider ART community, with a practical and legally grounded approach to validating data-driven methods. The five-stage workflow makes evidence traceable from question to finding. The legal and regulatory framework shows which obligations apply at each stage of translation, and where national differences between the Netherlands, Estonia and Greece require particular attention. The harmonisation framework defines the common minimum that allows partners in different countries and sectors to generate evidence together. The limitations identified in Chapter 8 are </w:t>
      </w:r>
      <w:r>
        <w:rPr>
          <w:rFonts w:ascii="Arial" w:hAnsi="Arial" w:cs="Arial"/>
        </w:rPr>
        <w:lastRenderedPageBreak/>
        <w:t>real but addressable, and most of the solutions are already under way within NESTOR or planned in NEO-LIFE.</w:t>
      </w:r>
    </w:p>
    <w:p w14:paraId="07296851" w14:textId="77777777" w:rsidR="00421570" w:rsidRPr="0017344A" w:rsidRDefault="00000000">
      <w:pPr>
        <w:rPr>
          <w:rFonts w:ascii="Arial" w:hAnsi="Arial" w:cs="Arial"/>
        </w:rPr>
      </w:pPr>
      <w:r w:rsidRPr="0017344A">
        <w:rPr>
          <w:rFonts w:ascii="Arial" w:hAnsi="Arial" w:cs="Arial"/>
        </w:rPr>
        <w:t xml:space="preserve">Three lessons stand out from the work so far. First, the intended purpose of a method shapes everything that follows, from data requirements to regulatory status, so it deserves careful definition at the outset. Second, the model-to-data approach used at MUMC+ is both legally prudent and practically feasible, and it provides a template for cross-border collaboration. Third, cross-sectoral secondments are an effective way of transferring validation practice: the combination of clinical, academic and industrial expertise that produced this deliverable could not have been assembled within any one partner.</w:t>
      </w:r>
    </w:p>
    <w:p w14:paraId="5A93B049" w14:textId="77777777" w:rsidR="00421570" w:rsidRPr="0017344A" w:rsidRDefault="00000000">
      <w:pPr>
        <w:keepNext/>
        <w:rPr>
          <w:rFonts w:ascii="Arial" w:hAnsi="Arial" w:cs="Arial"/>
        </w:rPr>
      </w:pPr>
      <w:r w:rsidRPr="0017344A">
        <w:rPr>
          <w:rFonts w:ascii="Arial" w:hAnsi="Arial" w:cs="Arial"/>
        </w:rPr>
        <w:t>Recommended next steps are to:</w:t>
      </w:r>
    </w:p>
    <w:p w14:paraId="6EDEB795" w14:textId="77777777" w:rsidR="00421570" w:rsidRPr="0017344A" w:rsidRDefault="00000000">
      <w:pPr>
        <w:pStyle w:val="ListBullet"/>
        <w:rPr>
          <w:rFonts w:ascii="Arial" w:hAnsi="Arial" w:cs="Arial"/>
        </w:rPr>
      </w:pPr>
      <w:r w:rsidRPr="0017344A">
        <w:rPr>
          <w:rFonts w:ascii="Arial" w:hAnsi="Arial" w:cs="Arial"/>
        </w:rPr>
        <w:t>apply the workflow and harmonised minimum practices in multi-site validation of the embryo image-analysis approach, starting with the harmonised TLM data collected at AN;</w:t>
      </w:r>
    </w:p>
    <w:p w14:paraId="7135D1E0" w14:textId="77777777" w:rsidR="00421570" w:rsidRPr="0017344A" w:rsidRDefault="00000000">
      <w:pPr>
        <w:pStyle w:val="ListBullet"/>
        <w:rPr>
          <w:rFonts w:ascii="Arial" w:hAnsi="Arial" w:cs="Arial"/>
        </w:rPr>
      </w:pPr>
      <w:r w:rsidRPr="0017344A">
        <w:rPr>
          <w:rFonts w:ascii="Arial" w:hAnsi="Arial" w:cs="Arial"/>
        </w:rPr>
        <w:t>extend the worked examples to other NESTOR research sub-fields, notably non-invasive genomic methods, where the IVDR rather than the MDR applies;</w:t>
      </w:r>
    </w:p>
    <w:p w14:paraId="38C17D3B" w14:textId="77777777" w:rsidR="00421570" w:rsidRPr="0017344A" w:rsidRDefault="00000000">
      <w:pPr>
        <w:pStyle w:val="ListBullet"/>
        <w:rPr>
          <w:rFonts w:ascii="Arial" w:hAnsi="Arial" w:cs="Arial"/>
        </w:rPr>
      </w:pPr>
      <w:r w:rsidRPr="0017344A">
        <w:rPr>
          <w:rFonts w:ascii="Arial" w:hAnsi="Arial" w:cs="Arial"/>
        </w:rPr>
        <w:t>update the guidelines as the MDR/IVDR revision, the AI Act implementation and the SoHO and EHDS frameworks develop;</w:t>
      </w:r>
    </w:p>
    <w:p w14:paraId="71EE07D6" w14:textId="77777777" w:rsidR="00421570" w:rsidRPr="0017344A" w:rsidRDefault="00000000">
      <w:pPr>
        <w:pStyle w:val="ListBullet"/>
        <w:rPr>
          <w:rFonts w:ascii="Arial" w:hAnsi="Arial" w:cs="Arial"/>
        </w:rPr>
      </w:pPr>
      <w:r w:rsidRPr="0017344A">
        <w:rPr>
          <w:rFonts w:ascii="Arial" w:hAnsi="Arial" w:cs="Arial"/>
        </w:rPr>
        <w:t>use NESTOR dissemination channels, including ESHRE and national professional networks, to share the guidelines with ART providers in Estonia, Greece and beyond;</w:t>
      </w:r>
    </w:p>
    <w:p w14:paraId="53AFA0EA" w14:textId="77777777" w:rsidR="00421570" w:rsidRPr="0017344A" w:rsidRDefault="00000000">
      <w:pPr>
        <w:pStyle w:val="ListBullet"/>
        <w:rPr>
          <w:rFonts w:ascii="Arial" w:hAnsi="Arial" w:cs="Arial"/>
        </w:rPr>
      </w:pPr>
      <w:r w:rsidRPr="0017344A">
        <w:rPr>
          <w:rFonts w:ascii="Arial" w:hAnsi="Arial" w:cs="Arial"/>
        </w:rPr>
        <w:t>carry the workflow, checklist and data-sharing standards forward into the follow-on project NEO-LIFE (Chapter 10).</w:t>
      </w:r>
    </w:p>
    <w:p w14:paraId="13BD1ABC" w14:textId="77777777" w:rsidR="00922B2D" w:rsidRDefault="00000000">
      <w:pPr>
        <w:pStyle w:val="Heading1"/>
      </w:pPr>
      <w:r>
        <w:rPr>
          <w:rFonts w:ascii="Arial" w:hAnsi="Arial" w:cs="Arial"/>
        </w:rPr>
        <w:t>10. Legacy plans</w:t>
      </w:r>
    </w:p>
    <w:p w14:paraId="58B75D16" w14:textId="77777777" w:rsidR="00922B2D" w:rsidRDefault="00000000">
      <w:pPr>
        <w:pStyle w:val="Heading2"/>
      </w:pPr>
      <w:r>
        <w:rPr>
          <w:rFonts w:ascii="Arial" w:hAnsi="Arial" w:cs="Arial"/>
        </w:rPr>
        <w:t>10.1 What NESTOR leaves behind</w:t>
      </w:r>
    </w:p>
    <w:p w14:paraId="0D7AF714" w14:textId="77777777" w:rsidR="00922B2D" w:rsidRDefault="00000000">
      <w:pPr>
        <w:keepNext/>
      </w:pPr>
      <w:r>
        <w:rPr>
          <w:rFonts w:ascii="Arial" w:hAnsi="Arial" w:cs="Arial"/>
        </w:rPr>
        <w:t>NESTOR was designed as a capacity-building project, and its most durable results are the capabilities it leaves in place. For the validation of data-driven methods, these are:</w:t>
      </w:r>
    </w:p>
    <w:p w14:paraId="416564D3" w14:textId="77777777" w:rsidR="00922B2D" w:rsidRDefault="00000000">
      <w:pPr>
        <w:pStyle w:val="ListBullet"/>
      </w:pPr>
      <w:r>
        <w:rPr>
          <w:rFonts w:ascii="Arial" w:hAnsi="Arial" w:cs="Arial"/>
          <w:b/>
        </w:rPr>
        <w:t>Open-access guidelines.</w:t>
      </w:r>
      <w:r>
        <w:rPr>
          <w:rFonts w:ascii="Arial" w:hAnsi="Arial" w:cs="Arial"/>
        </w:rPr>
        <w:t xml:space="preserve"> The </w:t>
      </w:r>
      <w:hyperlink r:id="rId17">
        <w:r>
          <w:rPr>
            <w:rFonts w:ascii="Arial" w:hAnsi="Arial" w:cs="Arial"/>
            <w:color w:val="503078"/>
            <w:u w:val="single"/>
          </w:rPr>
          <w:t>NESTOR clinical validation guidelines</w:t>
        </w:r>
      </w:hyperlink>
      <w:r>
        <w:rPr>
          <w:rFonts w:ascii="Arial" w:hAnsi="Arial" w:cs="Arial"/>
        </w:rPr>
        <w:t xml:space="preserve"> and this deliverable, including the workflow, the regulatory checkpoints, the harmonised minimum practices and the validation checklist, are publicly available and will remain online for at least two years after the end of the project.</w:t>
      </w:r>
    </w:p>
    <w:p w14:paraId="69D9D315" w14:textId="77777777" w:rsidR="00922B2D" w:rsidRDefault="00000000">
      <w:pPr>
        <w:pStyle w:val="ListBullet"/>
      </w:pPr>
      <w:r>
        <w:rPr>
          <w:rFonts w:ascii="Arial" w:hAnsi="Arial" w:cs="Arial"/>
          <w:b/>
        </w:rPr>
        <w:t>Data foundations.</w:t>
      </w:r>
      <w:r>
        <w:rPr>
          <w:rFonts w:ascii="Arial" w:hAnsi="Arial" w:cs="Arial"/>
        </w:rPr>
        <w:t xml:space="preserve"> The metadata, consent and interoperability standards developed under T3.4, and the harmonised data collection at AN, provide a basis for future multi-site studies.</w:t>
      </w:r>
    </w:p>
    <w:p w14:paraId="6483C410" w14:textId="77777777" w:rsidR="00922B2D" w:rsidRDefault="00000000">
      <w:pPr>
        <w:pStyle w:val="ListBullet"/>
      </w:pPr>
      <w:r>
        <w:rPr>
          <w:rFonts w:ascii="Arial" w:hAnsi="Arial" w:cs="Arial"/>
          <w:b/>
        </w:rPr>
        <w:t>People and skills.</w:t>
      </w:r>
      <w:r>
        <w:rPr>
          <w:rFonts w:ascii="Arial" w:hAnsi="Arial" w:cs="Arial"/>
        </w:rPr>
        <w:t xml:space="preserve"> Seconded researchers and clinical staff from industry, clinics and academia in three countries have been trained in validation, data stewardship and regulatory requirements, including data-stewardship training for AN staff.</w:t>
      </w:r>
    </w:p>
    <w:p w14:paraId="2E05882F" w14:textId="77777777" w:rsidR="00922B2D" w:rsidRDefault="00000000">
      <w:pPr>
        <w:pStyle w:val="ListBullet"/>
      </w:pPr>
      <w:r>
        <w:rPr>
          <w:rFonts w:ascii="Arial" w:hAnsi="Arial" w:cs="Arial"/>
          <w:b/>
        </w:rPr>
        <w:t>Research results.</w:t>
      </w:r>
      <w:r>
        <w:rPr>
          <w:rFonts w:ascii="Arial" w:hAnsi="Arial" w:cs="Arial"/>
        </w:rPr>
        <w:t xml:space="preserve"> NESTOR partners have published peer-reviewed work on AI and multimodal methods in reproductive and gynaecological medicine [4, 5, 6], which provides methods and candidate tools for future validation.</w:t>
      </w:r>
    </w:p>
    <w:p w14:paraId="25463BE8" w14:textId="6AD94F8A" w:rsidR="00922B2D" w:rsidRDefault="00000000">
      <w:pPr>
        <w:pStyle w:val="ListBullet"/>
      </w:pPr>
      <w:r>
        <w:rPr>
          <w:rFonts w:ascii="Arial" w:hAnsi="Arial" w:cs="Arial"/>
          <w:b/>
        </w:rPr>
        <w:t>Partnerships.</w:t>
      </w:r>
      <w:r>
        <w:rPr>
          <w:rFonts w:ascii="Arial" w:hAnsi="Arial" w:cs="Arial"/>
        </w:rPr>
        <w:t xml:space="preserve"> Working relationships between academic, clinical and industry partners in the Netherlands, Estonia and Greece continue beyond the gran</w:t>
      </w:r>
      <w:r w:rsidR="00ED41A6">
        <w:rPr>
          <w:rFonts w:ascii="Arial" w:hAnsi="Arial" w:cs="Arial"/>
        </w:rPr>
        <w:t>t.</w:t>
      </w:r>
    </w:p>
    <w:p w14:paraId="1274FC0A" w14:textId="77777777" w:rsidR="00922B2D" w:rsidRDefault="00000000">
      <w:pPr>
        <w:pStyle w:val="Heading2"/>
      </w:pPr>
      <w:r>
        <w:rPr>
          <w:rFonts w:ascii="Arial" w:hAnsi="Arial" w:cs="Arial"/>
        </w:rPr>
        <w:t>10.2 NEO-LIFE: the follow-on project</w:t>
      </w:r>
    </w:p>
    <w:p w14:paraId="2CF5CD6C" w14:textId="6A69948E" w:rsidR="00922B2D" w:rsidRPr="00ED41A6" w:rsidRDefault="00000000">
      <w:pPr>
        <w:rPr>
          <w:rFonts w:ascii="Arial" w:hAnsi="Arial" w:cs="Arial"/>
          <w:lang w:val="en-GB"/>
        </w:rPr>
      </w:pPr>
      <w:r>
        <w:rPr>
          <w:rFonts w:ascii="Arial" w:hAnsi="Arial" w:cs="Arial"/>
        </w:rPr>
        <w:t>The main vehicle for continuing this work is NEO-LIFE (“</w:t>
      </w:r>
      <w:r w:rsidR="00ED41A6" w:rsidRPr="00ED41A6">
        <w:rPr>
          <w:rFonts w:ascii="Arial" w:hAnsi="Arial" w:cs="Arial"/>
          <w:b/>
          <w:bCs/>
          <w:lang w:val="en-GB"/>
        </w:rPr>
        <w:t xml:space="preserve">Non-invasive Enhanced Omics and AI-Led Insights in </w:t>
      </w:r>
      <w:proofErr w:type="spellStart"/>
      <w:r w:rsidR="00ED41A6" w:rsidRPr="00ED41A6">
        <w:rPr>
          <w:rFonts w:ascii="Arial" w:hAnsi="Arial" w:cs="Arial"/>
          <w:b/>
          <w:bCs/>
          <w:lang w:val="en-GB"/>
        </w:rPr>
        <w:t>Fetal</w:t>
      </w:r>
      <w:proofErr w:type="spellEnd"/>
      <w:r w:rsidR="00ED41A6" w:rsidRPr="00ED41A6">
        <w:rPr>
          <w:rFonts w:ascii="Arial" w:hAnsi="Arial" w:cs="Arial"/>
          <w:b/>
          <w:bCs/>
          <w:lang w:val="en-GB"/>
        </w:rPr>
        <w:t xml:space="preserve">-maternal </w:t>
      </w:r>
      <w:proofErr w:type="spellStart"/>
      <w:r w:rsidR="00ED41A6" w:rsidRPr="00ED41A6">
        <w:rPr>
          <w:rFonts w:ascii="Arial" w:hAnsi="Arial" w:cs="Arial"/>
          <w:b/>
          <w:bCs/>
          <w:lang w:val="en-GB"/>
        </w:rPr>
        <w:t>hEalth</w:t>
      </w:r>
      <w:proofErr w:type="spellEnd"/>
      <w:r>
        <w:rPr>
          <w:rFonts w:ascii="Arial" w:hAnsi="Arial" w:cs="Arial"/>
        </w:rPr>
        <w:t xml:space="preserve">”), a Horizon Europe project (No. 101236848) [15]. NEO-LIFE is coordinated by Alexandra Hospital in Greece and brings together Maastricht University, Celvia (Estonia), the University of Peloponnese, the AI company Quantorio and Genomedai. It therefore carries two NESTOR partners, UM and Celvia, into a new consortium that strengthens the Greek clinical and technology base. Its aim is to establish a collaborative data-sharing framework for the exchange of </w:t>
      </w:r>
      <w:r>
        <w:rPr>
          <w:rFonts w:ascii="Arial" w:hAnsi="Arial" w:cs="Arial"/>
        </w:rPr>
        <w:lastRenderedPageBreak/>
        <w:t>knowledge and best practice across academia, industry and healthcare. It focuses on three areas: digitalisation and AI-driven data analytics for reproductive medicine; precision-driven innovations in reproductive health technologies; and sustainable life-cycle management of AI-driven reproductive health solutions.</w:t>
      </w:r>
    </w:p>
    <w:p w14:paraId="6CD66E24" w14:textId="77777777" w:rsidR="00922B2D" w:rsidRDefault="00000000">
      <w:r>
        <w:rPr>
          <w:rFonts w:ascii="Arial" w:hAnsi="Arial" w:cs="Arial"/>
        </w:rPr>
        <w:t>NEO-LIFE takes up several elements of D3.3 directly (Table 9). In particular, it extends the validation approach from embryology to feto-maternal medicine, including non-invasive prediction of adverse obstetric outcomes and placental pathology. It also turns the model-to-data principle recommended here into standardised procedures for federated data sharing.</w:t>
      </w:r>
    </w:p>
    <w:p w14:paraId="794C46F9" w14:textId="77777777" w:rsidR="00922B2D" w:rsidRDefault="00000000">
      <w:pPr>
        <w:pStyle w:val="Caption"/>
        <w:keepNext/>
        <w:spacing w:before="160" w:after="80"/>
      </w:pPr>
      <w:r>
        <w:rPr>
          <w:rFonts w:ascii="Arial" w:hAnsi="Arial" w:cs="Arial"/>
        </w:rPr>
        <w:t>Table 9. How NEO-LIFE builds on D3.3</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4400"/>
        <w:gridCol w:w="5200"/>
      </w:tblGrid>
      <w:tr w:rsidR="00922B2D" w14:paraId="7A8D3D00" w14:textId="77777777">
        <w:trPr>
          <w:cantSplit/>
          <w:tblHeader/>
        </w:trPr>
        <w:tc>
          <w:tcPr>
            <w:tcW w:w="4400" w:type="dxa"/>
            <w:shd w:val="clear" w:color="auto" w:fill="EEE8F3"/>
          </w:tcPr>
          <w:p w14:paraId="7E4BADDF" w14:textId="77777777" w:rsidR="00922B2D" w:rsidRDefault="00000000">
            <w:pPr>
              <w:spacing w:after="60" w:line="240" w:lineRule="auto"/>
              <w:jc w:val="left"/>
            </w:pPr>
            <w:r>
              <w:rPr>
                <w:rFonts w:ascii="Arial" w:hAnsi="Arial" w:cs="Arial"/>
                <w:b/>
                <w:sz w:val="18"/>
                <w:szCs w:val="18"/>
              </w:rPr>
              <w:t>D3.3 element</w:t>
            </w:r>
          </w:p>
        </w:tc>
        <w:tc>
          <w:tcPr>
            <w:tcW w:w="5200" w:type="dxa"/>
            <w:shd w:val="clear" w:color="auto" w:fill="EEE8F3"/>
          </w:tcPr>
          <w:p w14:paraId="385A481C" w14:textId="77777777" w:rsidR="00922B2D" w:rsidRDefault="00000000">
            <w:pPr>
              <w:spacing w:after="60" w:line="240" w:lineRule="auto"/>
              <w:jc w:val="left"/>
            </w:pPr>
            <w:r>
              <w:rPr>
                <w:rFonts w:ascii="Arial" w:hAnsi="Arial" w:cs="Arial"/>
                <w:b/>
                <w:sz w:val="18"/>
                <w:szCs w:val="18"/>
              </w:rPr>
              <w:t>Continuation in NEO-LIFE</w:t>
            </w:r>
          </w:p>
        </w:tc>
      </w:tr>
      <w:tr w:rsidR="00922B2D" w14:paraId="19D5EFBC" w14:textId="77777777">
        <w:trPr>
          <w:cantSplit/>
        </w:trPr>
        <w:tc>
          <w:tcPr>
            <w:tcW w:w="4400" w:type="dxa"/>
          </w:tcPr>
          <w:p w14:paraId="176A193F" w14:textId="77777777" w:rsidR="00922B2D" w:rsidRDefault="00000000">
            <w:pPr>
              <w:spacing w:after="60" w:line="240" w:lineRule="auto"/>
              <w:jc w:val="left"/>
            </w:pPr>
            <w:r>
              <w:rPr>
                <w:rFonts w:ascii="Arial" w:hAnsi="Arial" w:cs="Arial"/>
                <w:sz w:val="18"/>
                <w:szCs w:val="18"/>
              </w:rPr>
              <w:t>Cross-sectoral secondments as the mechanism for transferring validation practice (Section 2.3)</w:t>
            </w:r>
          </w:p>
        </w:tc>
        <w:tc>
          <w:tcPr>
            <w:tcW w:w="5200" w:type="dxa"/>
          </w:tcPr>
          <w:p w14:paraId="5C573D42" w14:textId="77777777" w:rsidR="00922B2D" w:rsidRDefault="00000000">
            <w:pPr>
              <w:spacing w:after="60" w:line="240" w:lineRule="auto"/>
              <w:jc w:val="left"/>
            </w:pPr>
            <w:r>
              <w:rPr>
                <w:rFonts w:ascii="Arial" w:hAnsi="Arial" w:cs="Arial"/>
                <w:sz w:val="18"/>
                <w:szCs w:val="18"/>
              </w:rPr>
              <w:t>Staff-exchange methodology (WP1).</w:t>
            </w:r>
          </w:p>
        </w:tc>
      </w:tr>
      <w:tr w:rsidR="00922B2D" w14:paraId="066A4DD1" w14:textId="77777777">
        <w:trPr>
          <w:cantSplit/>
        </w:trPr>
        <w:tc>
          <w:tcPr>
            <w:tcW w:w="4400" w:type="dxa"/>
          </w:tcPr>
          <w:p w14:paraId="3F5AC235" w14:textId="77777777" w:rsidR="00922B2D" w:rsidRDefault="00000000">
            <w:pPr>
              <w:spacing w:after="60" w:line="240" w:lineRule="auto"/>
              <w:jc w:val="left"/>
            </w:pPr>
            <w:r>
              <w:rPr>
                <w:rFonts w:ascii="Arial" w:hAnsi="Arial" w:cs="Arial"/>
                <w:sz w:val="18"/>
                <w:szCs w:val="18"/>
              </w:rPr>
              <w:t>Annotation protocol, reference standard and inter-observer agreement (Table 5)</w:t>
            </w:r>
          </w:p>
        </w:tc>
        <w:tc>
          <w:tcPr>
            <w:tcW w:w="5200" w:type="dxa"/>
          </w:tcPr>
          <w:p w14:paraId="17D94CF7" w14:textId="77777777" w:rsidR="00922B2D" w:rsidRDefault="00000000">
            <w:pPr>
              <w:spacing w:after="60" w:line="240" w:lineRule="auto"/>
              <w:jc w:val="left"/>
            </w:pPr>
            <w:r>
              <w:rPr>
                <w:rFonts w:ascii="Arial" w:hAnsi="Arial" w:cs="Arial"/>
                <w:sz w:val="18"/>
                <w:szCs w:val="18"/>
              </w:rPr>
              <w:t>Auto-annotation using augmented reality and AI (WP2), with the D3.3 workflow applied to validate the annotation tools themselves.</w:t>
            </w:r>
          </w:p>
        </w:tc>
      </w:tr>
      <w:tr w:rsidR="00922B2D" w14:paraId="2A7AB50A" w14:textId="77777777">
        <w:trPr>
          <w:cantSplit/>
        </w:trPr>
        <w:tc>
          <w:tcPr>
            <w:tcW w:w="4400" w:type="dxa"/>
          </w:tcPr>
          <w:p w14:paraId="3737F33D" w14:textId="77777777" w:rsidR="00922B2D" w:rsidRDefault="00000000">
            <w:pPr>
              <w:spacing w:after="60" w:line="240" w:lineRule="auto"/>
              <w:jc w:val="left"/>
            </w:pPr>
            <w:r>
              <w:rPr>
                <w:rFonts w:ascii="Arial" w:hAnsi="Arial" w:cs="Arial"/>
                <w:sz w:val="18"/>
                <w:szCs w:val="18"/>
              </w:rPr>
              <w:t>Extension of the workflow beyond embryology (Chapters 1 and 8)</w:t>
            </w:r>
          </w:p>
        </w:tc>
        <w:tc>
          <w:tcPr>
            <w:tcW w:w="5200" w:type="dxa"/>
          </w:tcPr>
          <w:p w14:paraId="787B3A5B" w14:textId="77777777" w:rsidR="00922B2D" w:rsidRDefault="00000000">
            <w:pPr>
              <w:spacing w:after="60" w:line="240" w:lineRule="auto"/>
              <w:jc w:val="left"/>
            </w:pPr>
            <w:r>
              <w:rPr>
                <w:rFonts w:ascii="Arial" w:hAnsi="Arial" w:cs="Arial"/>
                <w:sz w:val="18"/>
                <w:szCs w:val="18"/>
              </w:rPr>
              <w:t>Integrative genomic and radiomic tools for placental pathology (WP3).</w:t>
            </w:r>
          </w:p>
        </w:tc>
      </w:tr>
      <w:tr w:rsidR="00922B2D" w14:paraId="08832D4E" w14:textId="77777777">
        <w:trPr>
          <w:cantSplit/>
        </w:trPr>
        <w:tc>
          <w:tcPr>
            <w:tcW w:w="4400" w:type="dxa"/>
          </w:tcPr>
          <w:p w14:paraId="407FFD66" w14:textId="77777777" w:rsidR="00922B2D" w:rsidRDefault="00000000">
            <w:pPr>
              <w:spacing w:after="60" w:line="240" w:lineRule="auto"/>
              <w:jc w:val="left"/>
            </w:pPr>
            <w:r>
              <w:rPr>
                <w:rFonts w:ascii="Arial" w:hAnsi="Arial" w:cs="Arial"/>
                <w:sz w:val="18"/>
                <w:szCs w:val="18"/>
              </w:rPr>
              <w:t>Harmonised metadata, data dictionary and model record (Tables 5 and 6)</w:t>
            </w:r>
          </w:p>
        </w:tc>
        <w:tc>
          <w:tcPr>
            <w:tcW w:w="5200" w:type="dxa"/>
          </w:tcPr>
          <w:p w14:paraId="092917D0" w14:textId="77777777" w:rsidR="00922B2D" w:rsidRDefault="00000000">
            <w:pPr>
              <w:spacing w:after="60" w:line="240" w:lineRule="auto"/>
              <w:jc w:val="left"/>
            </w:pPr>
            <w:r>
              <w:rPr>
                <w:rFonts w:ascii="Arial" w:hAnsi="Arial" w:cs="Arial"/>
                <w:sz w:val="18"/>
                <w:szCs w:val="18"/>
              </w:rPr>
              <w:t>NEO-LIFE platform design: IT infrastructure, data housing and AI models (WP4).</w:t>
            </w:r>
          </w:p>
        </w:tc>
      </w:tr>
      <w:tr w:rsidR="00922B2D" w14:paraId="23A5EB54" w14:textId="77777777">
        <w:trPr>
          <w:cantSplit/>
        </w:trPr>
        <w:tc>
          <w:tcPr>
            <w:tcW w:w="4400" w:type="dxa"/>
          </w:tcPr>
          <w:p w14:paraId="2B6DB94B" w14:textId="77777777" w:rsidR="00922B2D" w:rsidRDefault="00000000">
            <w:pPr>
              <w:spacing w:after="60" w:line="240" w:lineRule="auto"/>
              <w:jc w:val="left"/>
            </w:pPr>
            <w:r>
              <w:rPr>
                <w:rFonts w:ascii="Arial" w:hAnsi="Arial" w:cs="Arial"/>
                <w:sz w:val="18"/>
                <w:szCs w:val="18"/>
              </w:rPr>
              <w:t>Model-to-data evaluation and the legal documentation set (Sections 3.1 and 4.4)</w:t>
            </w:r>
          </w:p>
        </w:tc>
        <w:tc>
          <w:tcPr>
            <w:tcW w:w="5200" w:type="dxa"/>
          </w:tcPr>
          <w:p w14:paraId="2B6A2F50" w14:textId="77777777" w:rsidR="00922B2D" w:rsidRDefault="00000000">
            <w:pPr>
              <w:spacing w:after="60" w:line="240" w:lineRule="auto"/>
              <w:jc w:val="left"/>
            </w:pPr>
            <w:r>
              <w:rPr>
                <w:rFonts w:ascii="Arial" w:hAnsi="Arial" w:cs="Arial"/>
                <w:sz w:val="18"/>
                <w:szCs w:val="18"/>
              </w:rPr>
              <w:t>Standardised procedures and methods for federated data sharing (WP5).</w:t>
            </w:r>
          </w:p>
        </w:tc>
      </w:tr>
      <w:tr w:rsidR="00922B2D" w14:paraId="033638F8" w14:textId="77777777">
        <w:trPr>
          <w:cantSplit/>
        </w:trPr>
        <w:tc>
          <w:tcPr>
            <w:tcW w:w="4400" w:type="dxa"/>
          </w:tcPr>
          <w:p w14:paraId="2F41B222" w14:textId="77777777" w:rsidR="00922B2D" w:rsidRDefault="00000000">
            <w:pPr>
              <w:spacing w:after="60" w:line="240" w:lineRule="auto"/>
              <w:jc w:val="left"/>
            </w:pPr>
            <w:r>
              <w:rPr>
                <w:rFonts w:ascii="Arial" w:hAnsi="Arial" w:cs="Arial"/>
                <w:sz w:val="18"/>
                <w:szCs w:val="18"/>
              </w:rPr>
              <w:t>Open-access guidelines and dissemination (Chapter 7)</w:t>
            </w:r>
          </w:p>
        </w:tc>
        <w:tc>
          <w:tcPr>
            <w:tcW w:w="5200" w:type="dxa"/>
          </w:tcPr>
          <w:p w14:paraId="065B9A2C" w14:textId="77777777" w:rsidR="00922B2D" w:rsidRDefault="00000000">
            <w:pPr>
              <w:spacing w:after="60" w:line="240" w:lineRule="auto"/>
              <w:jc w:val="left"/>
            </w:pPr>
            <w:r>
              <w:rPr>
                <w:rFonts w:ascii="Arial" w:hAnsi="Arial" w:cs="Arial"/>
                <w:sz w:val="18"/>
                <w:szCs w:val="18"/>
              </w:rPr>
              <w:t>Dissemination, communication and exploitation (WP6), including open publication of results.</w:t>
            </w:r>
          </w:p>
        </w:tc>
      </w:tr>
    </w:tbl>
    <w:p w14:paraId="5234314C" w14:textId="77777777" w:rsidR="00922B2D" w:rsidRDefault="00922B2D">
      <w:pPr>
        <w:spacing w:after="60"/>
      </w:pPr>
    </w:p>
    <w:p w14:paraId="37541B16" w14:textId="77777777" w:rsidR="00922B2D" w:rsidRDefault="00000000">
      <w:pPr>
        <w:pStyle w:val="Heading2"/>
      </w:pPr>
      <w:r>
        <w:rPr>
          <w:rFonts w:ascii="Arial" w:hAnsi="Arial" w:cs="Arial"/>
        </w:rPr>
        <w:t>10.3 Keeping the guidelines alive</w:t>
      </w:r>
    </w:p>
    <w:p w14:paraId="309FE9BE" w14:textId="77777777" w:rsidR="00922B2D" w:rsidRDefault="00000000">
      <w:pPr>
        <w:keepNext/>
      </w:pPr>
      <w:r>
        <w:rPr>
          <w:rFonts w:ascii="Arial" w:hAnsi="Arial" w:cs="Arial"/>
        </w:rPr>
        <w:t>To keep the guidelines useful after NESTOR, the partners plan to:</w:t>
      </w:r>
    </w:p>
    <w:p w14:paraId="01D6F432" w14:textId="77777777" w:rsidR="00922B2D" w:rsidRDefault="00000000">
      <w:pPr>
        <w:pStyle w:val="ListBullet"/>
      </w:pPr>
      <w:r>
        <w:rPr>
          <w:rFonts w:ascii="Arial" w:hAnsi="Arial" w:cs="Arial"/>
        </w:rPr>
        <w:t>maintain the web guidelines as a versioned resource, with a named maintainer, a change log and a citable release for each version;</w:t>
      </w:r>
    </w:p>
    <w:p w14:paraId="2E62D14C" w14:textId="77777777" w:rsidR="00922B2D" w:rsidRDefault="00000000">
      <w:pPr>
        <w:pStyle w:val="ListBullet"/>
      </w:pPr>
      <w:r>
        <w:rPr>
          <w:rFonts w:ascii="Arial" w:hAnsi="Arial" w:cs="Arial"/>
        </w:rPr>
        <w:t>deposit the final deliverable and the SOP set in an open repository with a persistent identifier;</w:t>
      </w:r>
    </w:p>
    <w:p w14:paraId="20040DC1" w14:textId="77777777" w:rsidR="00922B2D" w:rsidRDefault="00000000">
      <w:pPr>
        <w:pStyle w:val="ListBullet"/>
      </w:pPr>
      <w:r>
        <w:rPr>
          <w:rFonts w:ascii="Arial" w:hAnsi="Arial" w:cs="Arial"/>
        </w:rPr>
        <w:t>review the regulatory content (Chapter 3) at least once a year and whenever a major instrument changes;</w:t>
      </w:r>
    </w:p>
    <w:p w14:paraId="569077FC" w14:textId="77777777" w:rsidR="00922B2D" w:rsidRDefault="00000000">
      <w:pPr>
        <w:pStyle w:val="ListBullet"/>
      </w:pPr>
      <w:r>
        <w:rPr>
          <w:rFonts w:ascii="Arial" w:hAnsi="Arial" w:cs="Arial"/>
        </w:rPr>
        <w:t>add worked examples from NEO-LIFE, particularly for federated data sharing and feto-maternal applications;</w:t>
      </w:r>
    </w:p>
    <w:p w14:paraId="7F57D456" w14:textId="77777777" w:rsidR="00922B2D" w:rsidRDefault="00000000">
      <w:pPr>
        <w:pStyle w:val="ListBullet"/>
      </w:pPr>
      <w:r>
        <w:rPr>
          <w:rFonts w:ascii="Arial" w:hAnsi="Arial" w:cs="Arial"/>
        </w:rPr>
        <w:t>continue dissemination through ESHRE, national professional networks and the Advisory Board’s patient organisations.</w:t>
      </w:r>
    </w:p>
    <w:p w14:paraId="6779E69E" w14:textId="77777777" w:rsidR="00922B2D" w:rsidRDefault="00000000">
      <w:pPr>
        <w:pStyle w:val="Heading1"/>
      </w:pPr>
      <w:r>
        <w:rPr>
          <w:rFonts w:ascii="Arial" w:hAnsi="Arial" w:cs="Arial"/>
        </w:rPr>
        <w:t>References</w:t>
      </w:r>
    </w:p>
    <w:p w14:paraId="4A913382" w14:textId="77777777" w:rsidR="00922B2D" w:rsidRDefault="00000000">
      <w:pPr>
        <w:spacing w:after="80"/>
        <w:ind w:left="480" w:hanging="480"/>
        <w:jc w:val="left"/>
      </w:pPr>
      <w:r>
        <w:rPr>
          <w:rFonts w:ascii="Arial" w:hAnsi="Arial" w:cs="Arial"/>
          <w:sz w:val="19"/>
          <w:szCs w:val="19"/>
        </w:rPr>
        <w:t>[1] Hariton E, Frisch E, Edery M, et al. Reimagining reproductive medicine in the age of AI. Lancet Obstet Gynaecol Womens Health 2026;2:e592–e593.</w:t>
      </w:r>
    </w:p>
    <w:p w14:paraId="3F71E296" w14:textId="77777777" w:rsidR="00922B2D" w:rsidRDefault="00000000">
      <w:pPr>
        <w:spacing w:after="80"/>
        <w:ind w:left="480" w:hanging="480"/>
        <w:jc w:val="left"/>
      </w:pPr>
      <w:r>
        <w:rPr>
          <w:rFonts w:ascii="Arial" w:hAnsi="Arial" w:cs="Arial"/>
          <w:sz w:val="19"/>
          <w:szCs w:val="19"/>
        </w:rPr>
        <w:t>[2] Barad D. IVF add-ons: evidence, trust, and what patients are told. Lancet Obstet Gynaecol Womens Health 2026;2:e575–e577.</w:t>
      </w:r>
    </w:p>
    <w:p w14:paraId="0F0E5E99" w14:textId="77777777" w:rsidR="00922B2D" w:rsidRDefault="00000000">
      <w:pPr>
        <w:spacing w:after="80"/>
        <w:ind w:left="480" w:hanging="480"/>
        <w:jc w:val="left"/>
      </w:pPr>
      <w:r>
        <w:rPr>
          <w:rFonts w:ascii="Arial" w:hAnsi="Arial" w:cs="Arial"/>
          <w:sz w:val="19"/>
          <w:szCs w:val="19"/>
        </w:rPr>
        <w:t>[3] Lundin K, Bentzen JG, Bozdag G, et al. Good practice recommendations on add-ons in reproductive medicine. Hum Reprod 2023;38(11):2062–2104.</w:t>
      </w:r>
    </w:p>
    <w:p w14:paraId="354FDFB6" w14:textId="77777777" w:rsidR="00922B2D" w:rsidRDefault="00000000">
      <w:pPr>
        <w:spacing w:after="80"/>
        <w:ind w:left="480" w:hanging="480"/>
        <w:jc w:val="left"/>
      </w:pPr>
      <w:r>
        <w:rPr>
          <w:rFonts w:ascii="Arial" w:hAnsi="Arial" w:cs="Arial"/>
          <w:sz w:val="19"/>
          <w:szCs w:val="19"/>
        </w:rPr>
        <w:lastRenderedPageBreak/>
        <w:t>[4] Cao P, Derhaag J, Coonen E, Brunner H, Acharya G, Salumets A, Zamani Esteki M. Generative artificial intelligence to produce high-fidelity blastocyst-stage embryo images. Hum Reprod 2024;39(6):1197–1207. https://doi.org/10.1093/humrep/deae064</w:t>
      </w:r>
    </w:p>
    <w:p w14:paraId="54461192" w14:textId="77777777" w:rsidR="00922B2D" w:rsidRDefault="00000000">
      <w:pPr>
        <w:spacing w:after="80"/>
        <w:ind w:left="480" w:hanging="480"/>
        <w:jc w:val="left"/>
      </w:pPr>
      <w:r>
        <w:rPr>
          <w:rFonts w:ascii="Arial" w:hAnsi="Arial" w:cs="Arial"/>
          <w:sz w:val="19"/>
          <w:szCs w:val="19"/>
        </w:rPr>
        <w:t>[5] Patel N, Salumets A, Modhukur V. EMMA-STRAT: a multi-omics based machine learning framework for stratification of endometrial carcinoma molecular subtypes and MSI status. BioData Min 2026;19:63. https://doi.org/10.1186/s13040-026-00587-5</w:t>
      </w:r>
    </w:p>
    <w:p w14:paraId="1F1D00AF" w14:textId="77777777" w:rsidR="00922B2D" w:rsidRDefault="00000000">
      <w:pPr>
        <w:spacing w:after="80"/>
        <w:ind w:left="480" w:hanging="480"/>
        <w:jc w:val="left"/>
      </w:pPr>
      <w:r>
        <w:rPr>
          <w:rFonts w:ascii="Arial" w:hAnsi="Arial" w:cs="Arial"/>
          <w:sz w:val="19"/>
          <w:szCs w:val="19"/>
        </w:rPr>
        <w:t>[6] Lingasamy P, Ostrowska-Leśko M, Tsakalis P, et al. Deep learning-based prediction of gene expression from histopathology identifies NR5A1 as a candidate biomarker and druggable target in high-grade serous ovarian carcinoma. J Ovarian Res 2026;19:210. https://doi.org/10.1186/s13048-026-02166-y</w:t>
      </w:r>
    </w:p>
    <w:p w14:paraId="36AFE99B" w14:textId="77777777" w:rsidR="00922B2D" w:rsidRDefault="00000000">
      <w:pPr>
        <w:spacing w:after="80"/>
        <w:ind w:left="480" w:hanging="480"/>
        <w:jc w:val="left"/>
      </w:pPr>
      <w:r>
        <w:rPr>
          <w:rFonts w:ascii="Arial" w:hAnsi="Arial" w:cs="Arial"/>
          <w:sz w:val="19"/>
          <w:szCs w:val="19"/>
        </w:rPr>
        <w:t>[7] Regulation (EU) 2016/679 of the European Parliament and of the Council on the protection of natural persons with regard to the processing of personal data (General Data Protection Regulation). OJ L 119, 4.5.2016.</w:t>
      </w:r>
    </w:p>
    <w:p w14:paraId="15A1A359" w14:textId="77777777" w:rsidR="00922B2D" w:rsidRDefault="00000000">
      <w:pPr>
        <w:spacing w:after="80"/>
        <w:ind w:left="480" w:hanging="480"/>
        <w:jc w:val="left"/>
      </w:pPr>
      <w:r>
        <w:rPr>
          <w:rFonts w:ascii="Arial" w:hAnsi="Arial" w:cs="Arial"/>
          <w:sz w:val="19"/>
          <w:szCs w:val="19"/>
        </w:rPr>
        <w:t>[8] Regulation (EU) 2017/745 of the European Parliament and of the Council on medical devices. OJ L 117, 5.5.2017.</w:t>
      </w:r>
    </w:p>
    <w:p w14:paraId="75043E1C" w14:textId="77777777" w:rsidR="00922B2D" w:rsidRDefault="00000000">
      <w:pPr>
        <w:spacing w:after="80"/>
        <w:ind w:left="480" w:hanging="480"/>
        <w:jc w:val="left"/>
      </w:pPr>
      <w:r>
        <w:rPr>
          <w:rFonts w:ascii="Arial" w:hAnsi="Arial" w:cs="Arial"/>
          <w:sz w:val="19"/>
          <w:szCs w:val="19"/>
        </w:rPr>
        <w:t>[9] Regulation (EU) 2017/746 of the European Parliament and of the Council on in vitro diagnostic medical devices. OJ L 117, 5.5.2017.</w:t>
      </w:r>
    </w:p>
    <w:p w14:paraId="3ECF9B87" w14:textId="77777777" w:rsidR="00922B2D" w:rsidRDefault="00000000">
      <w:pPr>
        <w:spacing w:after="80"/>
        <w:ind w:left="480" w:hanging="480"/>
        <w:jc w:val="left"/>
      </w:pPr>
      <w:r>
        <w:rPr>
          <w:rFonts w:ascii="Arial" w:hAnsi="Arial" w:cs="Arial"/>
          <w:sz w:val="19"/>
          <w:szCs w:val="19"/>
        </w:rPr>
        <w:t>[10] Regulation (EU) 2024/1689 of the European Parliament and of the Council laying down harmonised rules on artificial intelligence (Artificial Intelligence Act). OJ L, 12.7.2024.</w:t>
      </w:r>
    </w:p>
    <w:p w14:paraId="3D8E5E7D" w14:textId="77777777" w:rsidR="00922B2D" w:rsidRDefault="00000000">
      <w:pPr>
        <w:spacing w:after="80"/>
        <w:ind w:left="480" w:hanging="480"/>
        <w:jc w:val="left"/>
      </w:pPr>
      <w:r>
        <w:rPr>
          <w:rFonts w:ascii="Arial" w:hAnsi="Arial" w:cs="Arial"/>
          <w:sz w:val="19"/>
          <w:szCs w:val="19"/>
        </w:rPr>
        <w:t>[11] Regulation (EU) 2026/1744 amending Regulation (EU) 2024/1689 as regards the simplification of the implementation of harmonised rules on artificial intelligence (Digital Omnibus on AI). Published 24.7.2026; in force 27.7.2026.</w:t>
      </w:r>
    </w:p>
    <w:p w14:paraId="19CBB016" w14:textId="77777777" w:rsidR="00922B2D" w:rsidRDefault="00000000">
      <w:pPr>
        <w:spacing w:after="80"/>
        <w:ind w:left="480" w:hanging="480"/>
        <w:jc w:val="left"/>
      </w:pPr>
      <w:r>
        <w:rPr>
          <w:rFonts w:ascii="Arial" w:hAnsi="Arial" w:cs="Arial"/>
          <w:sz w:val="19"/>
          <w:szCs w:val="19"/>
        </w:rPr>
        <w:t>[12] Regulation (EU) 2024/1938 of the European Parliament and of the Council on standards of quality and safety for substances of human origin intended for human application. OJ L, 17.7.2024.</w:t>
      </w:r>
    </w:p>
    <w:p w14:paraId="362F0B31" w14:textId="77777777" w:rsidR="00922B2D" w:rsidRDefault="00000000">
      <w:pPr>
        <w:spacing w:after="80"/>
        <w:ind w:left="480" w:hanging="480"/>
        <w:jc w:val="left"/>
      </w:pPr>
      <w:r>
        <w:rPr>
          <w:rFonts w:ascii="Arial" w:hAnsi="Arial" w:cs="Arial"/>
          <w:sz w:val="19"/>
          <w:szCs w:val="19"/>
        </w:rPr>
        <w:t>[13] Regulation (EU) 2025/327 of the European Parliament and of the Council on the European Health Data Space. OJ L, 5.3.2025.</w:t>
      </w:r>
    </w:p>
    <w:p w14:paraId="45CD306A" w14:textId="77777777" w:rsidR="00922B2D" w:rsidRDefault="00000000">
      <w:pPr>
        <w:spacing w:after="80"/>
        <w:ind w:left="480" w:hanging="480"/>
        <w:jc w:val="left"/>
      </w:pPr>
      <w:r>
        <w:rPr>
          <w:rFonts w:ascii="Arial" w:hAnsi="Arial" w:cs="Arial"/>
          <w:sz w:val="19"/>
          <w:szCs w:val="19"/>
        </w:rPr>
        <w:t>[14] World Medical Association. Declaration of Helsinki: ethical principles for medical research involving human participants. Revised October 2024. JAMA 2025;333(1):71–74.</w:t>
      </w:r>
    </w:p>
    <w:p w14:paraId="6BC735A3" w14:textId="77777777" w:rsidR="00922B2D" w:rsidRDefault="00000000">
      <w:pPr>
        <w:spacing w:after="80"/>
        <w:ind w:left="480" w:hanging="480"/>
        <w:jc w:val="left"/>
      </w:pPr>
      <w:r>
        <w:rPr>
          <w:rFonts w:ascii="Arial" w:hAnsi="Arial" w:cs="Arial"/>
          <w:sz w:val="19"/>
          <w:szCs w:val="19"/>
        </w:rPr>
        <w:t>[15] NEO-LIFE – A New Era of Life. Horizon Europe project No. 101236848. https://neolifemsca.eu/ (accessed 29 September 2026).</w:t>
      </w:r>
    </w:p>
    <w:p w14:paraId="546193F7" w14:textId="77777777" w:rsidR="00922B2D" w:rsidRDefault="00000000">
      <w:pPr>
        <w:spacing w:after="80"/>
        <w:ind w:left="480" w:hanging="480"/>
        <w:jc w:val="left"/>
      </w:pPr>
      <w:r>
        <w:rPr>
          <w:rFonts w:ascii="Arial" w:hAnsi="Arial" w:cs="Arial"/>
          <w:sz w:val="19"/>
          <w:szCs w:val="19"/>
        </w:rPr>
        <w:t>[16] NESTOR Consortium. Grant Agreement No. 101120075, Annex 1 – Description of Action (Part B).</w:t>
      </w:r>
    </w:p>
    <w:p w14:paraId="3E765E58" w14:textId="77777777" w:rsidR="00922B2D" w:rsidRDefault="00000000">
      <w:pPr>
        <w:spacing w:after="80"/>
        <w:ind w:left="480" w:hanging="480"/>
        <w:jc w:val="left"/>
      </w:pPr>
      <w:r>
        <w:rPr>
          <w:rFonts w:ascii="Arial" w:hAnsi="Arial" w:cs="Arial"/>
          <w:sz w:val="19"/>
          <w:szCs w:val="19"/>
        </w:rPr>
        <w:t>[17] National legislation: the Netherlands – GDPR Implementation Act (UAVG, 2018); Medical Research Involving Human Subjects Act (WMO, 1998); Embryo Act (Embryowet, 2002). Estonia – Personal Data Protection Act (2018); Artificial Insemination and Embryo Protection Act (1997). Greece – Law 4624/2019 on personal data protection; Law 3305/2005 on medically assisted reproduction.</w:t>
      </w:r>
    </w:p>
    <w:p w14:paraId="5E0E3A39" w14:textId="77777777" w:rsidR="00922B2D" w:rsidRDefault="00000000">
      <w:pPr>
        <w:spacing w:after="80"/>
        <w:ind w:left="480" w:hanging="480"/>
        <w:jc w:val="left"/>
      </w:pPr>
      <w:r>
        <w:rPr>
          <w:rFonts w:ascii="Arial" w:hAnsi="Arial" w:cs="Arial"/>
          <w:sz w:val="19"/>
          <w:szCs w:val="19"/>
        </w:rPr>
        <w:t>[18] Medical Device Coordination Group. MDCG 2019-11: Guidance on qualification and classification of software in Regulation (EU) 2017/745 – MDR and Regulation (EU) 2017/746 – IVDR (as revised).</w:t>
      </w:r>
    </w:p>
    <w:p w14:paraId="62DC77E5" w14:textId="77777777" w:rsidR="00922B2D" w:rsidRDefault="00000000">
      <w:pPr>
        <w:spacing w:after="80"/>
        <w:ind w:left="480" w:hanging="480"/>
        <w:jc w:val="left"/>
      </w:pPr>
      <w:r>
        <w:rPr>
          <w:rFonts w:ascii="Arial" w:hAnsi="Arial" w:cs="Arial"/>
          <w:sz w:val="19"/>
          <w:szCs w:val="19"/>
        </w:rPr>
        <w:t>[19] European Commission. Proposal for a Regulation amending Regulations (EU) 2017/745 and (EU) 2017/746 (simplification). COM(2025) 1023 final, 16.12.2025.</w:t>
      </w:r>
    </w:p>
    <w:p w14:paraId="3EF06834" w14:textId="77777777" w:rsidR="00922B2D" w:rsidRDefault="00000000">
      <w:pPr>
        <w:spacing w:after="80"/>
        <w:ind w:left="480" w:hanging="480"/>
        <w:jc w:val="left"/>
      </w:pPr>
      <w:r>
        <w:rPr>
          <w:rFonts w:ascii="Arial" w:hAnsi="Arial" w:cs="Arial"/>
          <w:sz w:val="19"/>
          <w:szCs w:val="19"/>
        </w:rPr>
        <w:t>[20] International standards: ISO 13485:2016 Medical devices – Quality management systems; IEC 62304:2006+A1:2015 Medical device software – Software life cycle processes; ISO 14971:2019 Medical devices – Application of risk management; ISO 15189:2022 Medical laboratories – Requirements for quality and competence.</w:t>
      </w:r>
    </w:p>
    <w:p w14:paraId="27DA6ED4" w14:textId="77777777" w:rsidR="00922B2D" w:rsidRDefault="00000000">
      <w:pPr>
        <w:spacing w:after="80"/>
        <w:ind w:left="480" w:hanging="480"/>
        <w:jc w:val="left"/>
      </w:pPr>
      <w:r>
        <w:rPr>
          <w:rFonts w:ascii="Arial" w:hAnsi="Arial" w:cs="Arial"/>
          <w:sz w:val="19"/>
          <w:szCs w:val="19"/>
        </w:rPr>
        <w:t>[21] Coticchio G, Ahlström A, Arroyo G, et al. The Istanbul consensus update: a revised ESHRE/ALPHA consensus on oocyte and embryo static and dynamic morphological assessment. Hum Reprod 2025;40(6):989.</w:t>
      </w:r>
    </w:p>
    <w:p w14:paraId="01DA8FFD" w14:textId="77777777" w:rsidR="00922B2D" w:rsidRDefault="00000000">
      <w:pPr>
        <w:spacing w:after="80"/>
        <w:ind w:left="480" w:hanging="480"/>
        <w:jc w:val="left"/>
      </w:pPr>
      <w:r>
        <w:rPr>
          <w:rFonts w:ascii="Arial" w:hAnsi="Arial" w:cs="Arial"/>
          <w:sz w:val="19"/>
          <w:szCs w:val="19"/>
        </w:rPr>
        <w:t>[22] ESHRE Working Group on Time-lapse Technology; Apter S, Ebner T, Freour T, et al. Good practice recommendations for the use of time-lapse technology. Hum Reprod Open 2020;2020(2):hoaa008.</w:t>
      </w:r>
    </w:p>
    <w:p w14:paraId="38D28FA3" w14:textId="77777777" w:rsidR="00922B2D" w:rsidRDefault="00000000">
      <w:pPr>
        <w:spacing w:after="80"/>
        <w:ind w:left="480" w:hanging="480"/>
        <w:jc w:val="left"/>
      </w:pPr>
      <w:r>
        <w:rPr>
          <w:rFonts w:ascii="Arial" w:hAnsi="Arial" w:cs="Arial"/>
          <w:sz w:val="19"/>
          <w:szCs w:val="19"/>
        </w:rPr>
        <w:t>[23] Wilkinson MD, Dumontier M, Aalbersberg IJ, et al. The FAIR Guiding Principles for scientific data management and stewardship. Sci Data 2016;3:160018.</w:t>
      </w:r>
    </w:p>
    <w:p w14:paraId="00DD38F0" w14:textId="77777777" w:rsidR="00922B2D" w:rsidRDefault="00000000">
      <w:pPr>
        <w:spacing w:after="80"/>
        <w:ind w:left="480" w:hanging="480"/>
        <w:jc w:val="left"/>
      </w:pPr>
      <w:r>
        <w:rPr>
          <w:rFonts w:ascii="Arial" w:hAnsi="Arial" w:cs="Arial"/>
          <w:sz w:val="19"/>
          <w:szCs w:val="19"/>
        </w:rPr>
        <w:lastRenderedPageBreak/>
        <w:t>[24] Collins GS, Moons KGM, Dhiman P, et al. TRIPOD+AI statement: updated guidance for reporting clinical prediction models that use regression or machine learning methods. BMJ 2024;385:e078378.</w:t>
      </w:r>
    </w:p>
    <w:p w14:paraId="41DDF5B3" w14:textId="77777777" w:rsidR="00922B2D" w:rsidRDefault="00000000">
      <w:pPr>
        <w:spacing w:after="80"/>
        <w:ind w:left="480" w:hanging="480"/>
        <w:jc w:val="left"/>
      </w:pPr>
      <w:r>
        <w:rPr>
          <w:rFonts w:ascii="Arial" w:hAnsi="Arial" w:cs="Arial"/>
          <w:sz w:val="19"/>
          <w:szCs w:val="19"/>
        </w:rPr>
        <w:t>[25] Tejani AS, Klontzas ME, Gatti AA, et al. Checklist for Artificial Intelligence in Medical Imaging (CLAIM): 2024 update. Radiol Artif Intell 2024;6(4):e240300.</w:t>
      </w:r>
    </w:p>
    <w:p w14:paraId="7B27BBCD" w14:textId="77777777" w:rsidR="00922B2D" w:rsidRDefault="00000000">
      <w:pPr>
        <w:spacing w:after="80"/>
        <w:ind w:left="480" w:hanging="480"/>
        <w:jc w:val="left"/>
      </w:pPr>
      <w:r>
        <w:rPr>
          <w:rFonts w:ascii="Arial" w:hAnsi="Arial" w:cs="Arial"/>
          <w:sz w:val="19"/>
          <w:szCs w:val="19"/>
        </w:rPr>
        <w:t>[26] Vasey B, Nagendran M, Campbell B, et al. Reporting guideline for the early-stage clinical evaluation of decision support systems driven by artificial intelligence: DECIDE-AI. Nat Med 2022;28:924–933.</w:t>
      </w:r>
    </w:p>
    <w:p w14:paraId="3E5CA2BB" w14:textId="77777777" w:rsidR="00421570" w:rsidRPr="0017344A" w:rsidRDefault="00000000">
      <w:pPr>
        <w:rPr>
          <w:rFonts w:ascii="Arial" w:hAnsi="Arial" w:cs="Arial"/>
        </w:rPr>
      </w:pPr>
      <w:r w:rsidRPr="0017344A">
        <w:rPr>
          <w:rFonts w:ascii="Arial" w:hAnsi="Arial" w:cs="Arial"/>
        </w:rPr>
        <w:br w:type="page"/>
      </w:r>
    </w:p>
    <w:p w14:paraId="02DBB222" w14:textId="77777777" w:rsidR="00421570" w:rsidRPr="0017344A" w:rsidRDefault="00000000">
      <w:pPr>
        <w:pStyle w:val="Heading1"/>
        <w:rPr>
          <w:rFonts w:ascii="Arial" w:hAnsi="Arial" w:cs="Arial"/>
        </w:rPr>
      </w:pPr>
      <w:bookmarkStart w:id="42" w:name="_Toc241574681"/>
      <w:r w:rsidRPr="0017344A">
        <w:rPr>
          <w:rFonts w:ascii="Arial" w:hAnsi="Arial" w:cs="Arial"/>
        </w:rPr>
        <w:lastRenderedPageBreak/>
        <w:t>Annex A. Validation checklist</w:t>
      </w:r>
      <w:bookmarkEnd w:id="42"/>
    </w:p>
    <w:p w14:paraId="414D7FCB" w14:textId="77777777" w:rsidR="00421570" w:rsidRPr="0017344A" w:rsidRDefault="00000000">
      <w:pPr>
        <w:rPr>
          <w:rFonts w:ascii="Arial" w:hAnsi="Arial" w:cs="Arial"/>
        </w:rPr>
      </w:pPr>
      <w:r w:rsidRPr="0017344A">
        <w:rPr>
          <w:rFonts w:ascii="Arial" w:hAnsi="Arial" w:cs="Arial"/>
        </w:rPr>
        <w:t>This checklist can be used as a working SOP when planning and reporting a validation study. Items marked (M) apply to multi-site studies, and items marked (C) apply when a method moves towards clinical use.</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8700"/>
        <w:gridCol w:w="900"/>
      </w:tblGrid>
      <w:tr w:rsidR="00421570" w:rsidRPr="0017344A" w14:paraId="68924C01" w14:textId="77777777">
        <w:trPr>
          <w:cantSplit/>
          <w:tblHeader/>
        </w:trPr>
        <w:tc>
          <w:tcPr>
            <w:tcW w:w="8700" w:type="dxa"/>
            <w:shd w:val="clear" w:color="auto" w:fill="EEE8F3"/>
          </w:tcPr>
          <w:p w14:paraId="552C667D"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Item</w:t>
            </w:r>
          </w:p>
        </w:tc>
        <w:tc>
          <w:tcPr>
            <w:tcW w:w="900" w:type="dxa"/>
            <w:shd w:val="clear" w:color="auto" w:fill="EEE8F3"/>
          </w:tcPr>
          <w:p w14:paraId="2364AECA"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Done</w:t>
            </w:r>
          </w:p>
        </w:tc>
      </w:tr>
      <w:tr w:rsidR="00421570" w:rsidRPr="0017344A" w14:paraId="3056AB14" w14:textId="77777777">
        <w:trPr>
          <w:cantSplit/>
        </w:trPr>
        <w:tc>
          <w:tcPr>
            <w:tcW w:w="9600" w:type="dxa"/>
            <w:gridSpan w:val="2"/>
            <w:shd w:val="clear" w:color="auto" w:fill="F6F2F9"/>
          </w:tcPr>
          <w:p w14:paraId="4F7AAD49" w14:textId="77777777" w:rsidR="00421570" w:rsidRPr="0017344A" w:rsidRDefault="00000000">
            <w:pPr>
              <w:keepNext/>
              <w:spacing w:after="60" w:line="240" w:lineRule="auto"/>
              <w:jc w:val="left"/>
              <w:rPr>
                <w:rFonts w:ascii="Arial" w:hAnsi="Arial" w:cs="Arial"/>
              </w:rPr>
            </w:pPr>
            <w:r w:rsidRPr="0017344A">
              <w:rPr>
                <w:rFonts w:ascii="Arial" w:hAnsi="Arial" w:cs="Arial"/>
                <w:b/>
                <w:sz w:val="18"/>
                <w:szCs w:val="18"/>
              </w:rPr>
              <w:t>1. Task definition</w:t>
            </w:r>
          </w:p>
        </w:tc>
      </w:tr>
      <w:tr w:rsidR="00421570" w:rsidRPr="0017344A" w14:paraId="40069148" w14:textId="77777777">
        <w:trPr>
          <w:cantSplit/>
        </w:trPr>
        <w:tc>
          <w:tcPr>
            <w:tcW w:w="8700" w:type="dxa"/>
          </w:tcPr>
          <w:p w14:paraId="07EDE4C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Research question and expected outputs stated.</w:t>
            </w:r>
          </w:p>
        </w:tc>
        <w:tc>
          <w:tcPr>
            <w:tcW w:w="900" w:type="dxa"/>
          </w:tcPr>
          <w:p w14:paraId="4C6E56D9"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7D290C23" w14:textId="77777777">
        <w:trPr>
          <w:cantSplit/>
        </w:trPr>
        <w:tc>
          <w:tcPr>
            <w:tcW w:w="8700" w:type="dxa"/>
          </w:tcPr>
          <w:p w14:paraId="570057D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Intended purpose, intended user and target population written down.</w:t>
            </w:r>
          </w:p>
        </w:tc>
        <w:tc>
          <w:tcPr>
            <w:tcW w:w="900" w:type="dxa"/>
          </w:tcPr>
          <w:p w14:paraId="4335AC8A"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CD0DD70" w14:textId="77777777">
        <w:trPr>
          <w:cantSplit/>
        </w:trPr>
        <w:tc>
          <w:tcPr>
            <w:tcW w:w="8700" w:type="dxa"/>
          </w:tcPr>
          <w:p w14:paraId="2AC38B0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Acceptable and unacceptable errors defined with clinical input.</w:t>
            </w:r>
          </w:p>
        </w:tc>
        <w:tc>
          <w:tcPr>
            <w:tcW w:w="900" w:type="dxa"/>
          </w:tcPr>
          <w:p w14:paraId="2AB99689"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2E263C5" w14:textId="77777777">
        <w:trPr>
          <w:cantSplit/>
        </w:trPr>
        <w:tc>
          <w:tcPr>
            <w:tcW w:w="8700" w:type="dxa"/>
          </w:tcPr>
          <w:p w14:paraId="63CBD91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Responsibilities for review and the role of human judgement defined.</w:t>
            </w:r>
          </w:p>
        </w:tc>
        <w:tc>
          <w:tcPr>
            <w:tcW w:w="900" w:type="dxa"/>
          </w:tcPr>
          <w:p w14:paraId="1E544B88"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4C99DA00" w14:textId="77777777">
        <w:trPr>
          <w:cantSplit/>
        </w:trPr>
        <w:tc>
          <w:tcPr>
            <w:tcW w:w="8700" w:type="dxa"/>
          </w:tcPr>
          <w:p w14:paraId="621A3B5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Regulatory qualification assessed (medical device / IVD / research only). (C)</w:t>
            </w:r>
          </w:p>
        </w:tc>
        <w:tc>
          <w:tcPr>
            <w:tcW w:w="900" w:type="dxa"/>
          </w:tcPr>
          <w:p w14:paraId="2363F424"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11ADFA10" w14:textId="77777777">
        <w:trPr>
          <w:cantSplit/>
        </w:trPr>
        <w:tc>
          <w:tcPr>
            <w:tcW w:w="8700" w:type="dxa"/>
          </w:tcPr>
          <w:p w14:paraId="454D126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Ethics review requirement and DPIA screening completed.</w:t>
            </w:r>
          </w:p>
        </w:tc>
        <w:tc>
          <w:tcPr>
            <w:tcW w:w="900" w:type="dxa"/>
          </w:tcPr>
          <w:p w14:paraId="38C8FD66"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0AACED1" w14:textId="77777777">
        <w:trPr>
          <w:cantSplit/>
        </w:trPr>
        <w:tc>
          <w:tcPr>
            <w:tcW w:w="8700" w:type="dxa"/>
          </w:tcPr>
          <w:p w14:paraId="5A5F00A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Task definition and acceptance criteria agreed by all sites. (M)</w:t>
            </w:r>
          </w:p>
        </w:tc>
        <w:tc>
          <w:tcPr>
            <w:tcW w:w="900" w:type="dxa"/>
          </w:tcPr>
          <w:p w14:paraId="09A882B3"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77CCF046" w14:textId="77777777">
        <w:trPr>
          <w:cantSplit/>
        </w:trPr>
        <w:tc>
          <w:tcPr>
            <w:tcW w:w="9600" w:type="dxa"/>
            <w:gridSpan w:val="2"/>
            <w:shd w:val="clear" w:color="auto" w:fill="F6F2F9"/>
          </w:tcPr>
          <w:p w14:paraId="53CCEDD5" w14:textId="77777777" w:rsidR="00421570" w:rsidRPr="0017344A" w:rsidRDefault="00000000">
            <w:pPr>
              <w:keepNext/>
              <w:spacing w:after="60" w:line="240" w:lineRule="auto"/>
              <w:jc w:val="left"/>
              <w:rPr>
                <w:rFonts w:ascii="Arial" w:hAnsi="Arial" w:cs="Arial"/>
              </w:rPr>
            </w:pPr>
            <w:r w:rsidRPr="0017344A">
              <w:rPr>
                <w:rFonts w:ascii="Arial" w:hAnsi="Arial" w:cs="Arial"/>
                <w:b/>
                <w:sz w:val="18"/>
                <w:szCs w:val="18"/>
              </w:rPr>
              <w:t>2. Data description</w:t>
            </w:r>
          </w:p>
        </w:tc>
      </w:tr>
      <w:tr w:rsidR="00421570" w:rsidRPr="0017344A" w14:paraId="1DCBB36F" w14:textId="77777777">
        <w:trPr>
          <w:cantSplit/>
        </w:trPr>
        <w:tc>
          <w:tcPr>
            <w:tcW w:w="8700" w:type="dxa"/>
          </w:tcPr>
          <w:p w14:paraId="0C2A9CD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sources, collection and preparation described.</w:t>
            </w:r>
          </w:p>
        </w:tc>
        <w:tc>
          <w:tcPr>
            <w:tcW w:w="900" w:type="dxa"/>
          </w:tcPr>
          <w:p w14:paraId="59D00E91"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4BA3F84F" w14:textId="77777777">
        <w:trPr>
          <w:cantSplit/>
        </w:trPr>
        <w:tc>
          <w:tcPr>
            <w:tcW w:w="8700" w:type="dxa"/>
          </w:tcPr>
          <w:p w14:paraId="2AAF6C3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Lawful basis, consent or opt-out status and ethics approval recorded for each site.</w:t>
            </w:r>
          </w:p>
        </w:tc>
        <w:tc>
          <w:tcPr>
            <w:tcW w:w="900" w:type="dxa"/>
          </w:tcPr>
          <w:p w14:paraId="26D81B81"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0C7B4198" w14:textId="77777777">
        <w:trPr>
          <w:cantSplit/>
        </w:trPr>
        <w:tc>
          <w:tcPr>
            <w:tcW w:w="8700" w:type="dxa"/>
          </w:tcPr>
          <w:p w14:paraId="6C79BD5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processing or joint-controllership agreements in place. (M)</w:t>
            </w:r>
          </w:p>
        </w:tc>
        <w:tc>
          <w:tcPr>
            <w:tcW w:w="900" w:type="dxa"/>
          </w:tcPr>
          <w:p w14:paraId="1562DB14"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70F353FA" w14:textId="77777777">
        <w:trPr>
          <w:cantSplit/>
        </w:trPr>
        <w:tc>
          <w:tcPr>
            <w:tcW w:w="8700" w:type="dxa"/>
          </w:tcPr>
          <w:p w14:paraId="6F9027F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Processing location recorded; model-to-data approach used where transfer is restricted.</w:t>
            </w:r>
          </w:p>
        </w:tc>
        <w:tc>
          <w:tcPr>
            <w:tcW w:w="900" w:type="dxa"/>
          </w:tcPr>
          <w:p w14:paraId="08599D47"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6256370" w14:textId="77777777">
        <w:trPr>
          <w:cantSplit/>
        </w:trPr>
        <w:tc>
          <w:tcPr>
            <w:tcW w:w="8700" w:type="dxa"/>
          </w:tcPr>
          <w:p w14:paraId="41E99DF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Harmonised acquisition metadata and data dictionary applied. (M)</w:t>
            </w:r>
          </w:p>
        </w:tc>
        <w:tc>
          <w:tcPr>
            <w:tcW w:w="900" w:type="dxa"/>
          </w:tcPr>
          <w:p w14:paraId="3A5D3E22"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59F1465" w14:textId="77777777">
        <w:trPr>
          <w:cantSplit/>
        </w:trPr>
        <w:tc>
          <w:tcPr>
            <w:tcW w:w="8700" w:type="dxa"/>
          </w:tcPr>
          <w:p w14:paraId="0364854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Reference standard and annotation protocol documented; inter-observer agreement measured.</w:t>
            </w:r>
          </w:p>
        </w:tc>
        <w:tc>
          <w:tcPr>
            <w:tcW w:w="900" w:type="dxa"/>
          </w:tcPr>
          <w:p w14:paraId="425A84A2"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724AA3F" w14:textId="77777777">
        <w:trPr>
          <w:cantSplit/>
        </w:trPr>
        <w:tc>
          <w:tcPr>
            <w:tcW w:w="8700" w:type="dxa"/>
          </w:tcPr>
          <w:p w14:paraId="62DE1C7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Training and evaluation data split at patient or cycle level; external site held out. (M)</w:t>
            </w:r>
          </w:p>
        </w:tc>
        <w:tc>
          <w:tcPr>
            <w:tcW w:w="900" w:type="dxa"/>
          </w:tcPr>
          <w:p w14:paraId="7DF7D148"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78CDDCE9" w14:textId="77777777">
        <w:trPr>
          <w:cantSplit/>
        </w:trPr>
        <w:tc>
          <w:tcPr>
            <w:tcW w:w="8700" w:type="dxa"/>
          </w:tcPr>
          <w:p w14:paraId="44A40CB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Inclusion and exclusion criteria documented; representativeness and gaps described.</w:t>
            </w:r>
          </w:p>
        </w:tc>
        <w:tc>
          <w:tcPr>
            <w:tcW w:w="900" w:type="dxa"/>
          </w:tcPr>
          <w:p w14:paraId="64890D3E"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0FA1888D" w14:textId="77777777">
        <w:trPr>
          <w:cantSplit/>
        </w:trPr>
        <w:tc>
          <w:tcPr>
            <w:tcW w:w="9600" w:type="dxa"/>
            <w:gridSpan w:val="2"/>
            <w:shd w:val="clear" w:color="auto" w:fill="F6F2F9"/>
          </w:tcPr>
          <w:p w14:paraId="0CA0CB3D" w14:textId="77777777" w:rsidR="00421570" w:rsidRPr="0017344A" w:rsidRDefault="00000000">
            <w:pPr>
              <w:keepNext/>
              <w:spacing w:after="60" w:line="240" w:lineRule="auto"/>
              <w:jc w:val="left"/>
              <w:rPr>
                <w:rFonts w:ascii="Arial" w:hAnsi="Arial" w:cs="Arial"/>
              </w:rPr>
            </w:pPr>
            <w:r w:rsidRPr="0017344A">
              <w:rPr>
                <w:rFonts w:ascii="Arial" w:hAnsi="Arial" w:cs="Arial"/>
                <w:b/>
                <w:sz w:val="18"/>
                <w:szCs w:val="18"/>
              </w:rPr>
              <w:t>3. Model identification</w:t>
            </w:r>
          </w:p>
        </w:tc>
      </w:tr>
      <w:tr w:rsidR="00421570" w:rsidRPr="0017344A" w14:paraId="42529EAA" w14:textId="77777777">
        <w:trPr>
          <w:cantSplit/>
        </w:trPr>
        <w:tc>
          <w:tcPr>
            <w:tcW w:w="8700" w:type="dxa"/>
          </w:tcPr>
          <w:p w14:paraId="4300553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Model version, weights checksum, configuration and input preparation recorded.</w:t>
            </w:r>
          </w:p>
        </w:tc>
        <w:tc>
          <w:tcPr>
            <w:tcW w:w="900" w:type="dxa"/>
          </w:tcPr>
          <w:p w14:paraId="7ED16668"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40711147" w14:textId="77777777">
        <w:trPr>
          <w:cantSplit/>
        </w:trPr>
        <w:tc>
          <w:tcPr>
            <w:tcW w:w="8700" w:type="dxa"/>
          </w:tcPr>
          <w:p w14:paraId="769DB56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Meaning of output labels, values and units described.</w:t>
            </w:r>
          </w:p>
        </w:tc>
        <w:tc>
          <w:tcPr>
            <w:tcW w:w="900" w:type="dxa"/>
          </w:tcPr>
          <w:p w14:paraId="1B44FB80"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30E5214C" w14:textId="77777777">
        <w:trPr>
          <w:cantSplit/>
        </w:trPr>
        <w:tc>
          <w:tcPr>
            <w:tcW w:w="8700" w:type="dxa"/>
          </w:tcPr>
          <w:p w14:paraId="4CB097F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Same model version verified at every site. (M)</w:t>
            </w:r>
          </w:p>
        </w:tc>
        <w:tc>
          <w:tcPr>
            <w:tcW w:w="900" w:type="dxa"/>
          </w:tcPr>
          <w:p w14:paraId="2DC31ABA"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4ADDD147" w14:textId="77777777">
        <w:trPr>
          <w:cantSplit/>
        </w:trPr>
        <w:tc>
          <w:tcPr>
            <w:tcW w:w="8700" w:type="dxa"/>
          </w:tcPr>
          <w:p w14:paraId="613B1E4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Ownership and licensing of model and data recorded.</w:t>
            </w:r>
          </w:p>
        </w:tc>
        <w:tc>
          <w:tcPr>
            <w:tcW w:w="900" w:type="dxa"/>
          </w:tcPr>
          <w:p w14:paraId="34055014"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771540A5" w14:textId="77777777">
        <w:trPr>
          <w:cantSplit/>
        </w:trPr>
        <w:tc>
          <w:tcPr>
            <w:tcW w:w="8700" w:type="dxa"/>
          </w:tcPr>
          <w:p w14:paraId="3AB26B9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Version control and change records maintained. (C)</w:t>
            </w:r>
          </w:p>
        </w:tc>
        <w:tc>
          <w:tcPr>
            <w:tcW w:w="900" w:type="dxa"/>
          </w:tcPr>
          <w:p w14:paraId="69D6F8D7"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004F7AD5" w14:textId="77777777">
        <w:trPr>
          <w:cantSplit/>
        </w:trPr>
        <w:tc>
          <w:tcPr>
            <w:tcW w:w="9600" w:type="dxa"/>
            <w:gridSpan w:val="2"/>
            <w:shd w:val="clear" w:color="auto" w:fill="F6F2F9"/>
          </w:tcPr>
          <w:p w14:paraId="055DF367" w14:textId="77777777" w:rsidR="00421570" w:rsidRPr="0017344A" w:rsidRDefault="00000000">
            <w:pPr>
              <w:keepNext/>
              <w:spacing w:after="60" w:line="240" w:lineRule="auto"/>
              <w:jc w:val="left"/>
              <w:rPr>
                <w:rFonts w:ascii="Arial" w:hAnsi="Arial" w:cs="Arial"/>
              </w:rPr>
            </w:pPr>
            <w:r w:rsidRPr="0017344A">
              <w:rPr>
                <w:rFonts w:ascii="Arial" w:hAnsi="Arial" w:cs="Arial"/>
                <w:b/>
                <w:sz w:val="18"/>
                <w:szCs w:val="18"/>
              </w:rPr>
              <w:t>4. Evaluation and visual review</w:t>
            </w:r>
          </w:p>
        </w:tc>
      </w:tr>
      <w:tr w:rsidR="00421570" w:rsidRPr="0017344A" w14:paraId="4F931145" w14:textId="77777777">
        <w:trPr>
          <w:cantSplit/>
        </w:trPr>
        <w:tc>
          <w:tcPr>
            <w:tcW w:w="8700" w:type="dxa"/>
          </w:tcPr>
          <w:p w14:paraId="0427EAA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Performance measures and unit of analysis pre-specified.</w:t>
            </w:r>
          </w:p>
        </w:tc>
        <w:tc>
          <w:tcPr>
            <w:tcW w:w="900" w:type="dxa"/>
          </w:tcPr>
          <w:p w14:paraId="0A613DF8"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1BA113DC" w14:textId="77777777">
        <w:trPr>
          <w:cantSplit/>
        </w:trPr>
        <w:tc>
          <w:tcPr>
            <w:tcW w:w="8700" w:type="dxa"/>
          </w:tcPr>
          <w:p w14:paraId="580A643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Quality-review criteria pre-specified at frame and sequence or participant level.</w:t>
            </w:r>
          </w:p>
        </w:tc>
        <w:tc>
          <w:tcPr>
            <w:tcW w:w="900" w:type="dxa"/>
          </w:tcPr>
          <w:p w14:paraId="21B443FD"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1A0BEEB3" w14:textId="77777777">
        <w:trPr>
          <w:cantSplit/>
        </w:trPr>
        <w:tc>
          <w:tcPr>
            <w:tcW w:w="8700" w:type="dxa"/>
          </w:tcPr>
          <w:p w14:paraId="0D83955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Exclusions recorded with coded reasons; exclusion rates reported.</w:t>
            </w:r>
          </w:p>
        </w:tc>
        <w:tc>
          <w:tcPr>
            <w:tcW w:w="900" w:type="dxa"/>
          </w:tcPr>
          <w:p w14:paraId="0C043FB0"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6E9596C8" w14:textId="77777777">
        <w:trPr>
          <w:cantSplit/>
        </w:trPr>
        <w:tc>
          <w:tcPr>
            <w:tcW w:w="8700" w:type="dxa"/>
          </w:tcPr>
          <w:p w14:paraId="56D0FF8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Results reported per site and overall, with confidence intervals. (M)</w:t>
            </w:r>
          </w:p>
        </w:tc>
        <w:tc>
          <w:tcPr>
            <w:tcW w:w="900" w:type="dxa"/>
          </w:tcPr>
          <w:p w14:paraId="2AE6AD5D"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66ECE8C3" w14:textId="77777777">
        <w:trPr>
          <w:cantSplit/>
        </w:trPr>
        <w:tc>
          <w:tcPr>
            <w:tcW w:w="8700" w:type="dxa"/>
          </w:tcPr>
          <w:p w14:paraId="7BC67A3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Human oversight arrangements and identified failure modes documented. (C)</w:t>
            </w:r>
          </w:p>
        </w:tc>
        <w:tc>
          <w:tcPr>
            <w:tcW w:w="900" w:type="dxa"/>
          </w:tcPr>
          <w:p w14:paraId="084C01C7"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093A21CE" w14:textId="77777777">
        <w:trPr>
          <w:cantSplit/>
        </w:trPr>
        <w:tc>
          <w:tcPr>
            <w:tcW w:w="9600" w:type="dxa"/>
            <w:gridSpan w:val="2"/>
            <w:shd w:val="clear" w:color="auto" w:fill="F6F2F9"/>
          </w:tcPr>
          <w:p w14:paraId="29AA66E5" w14:textId="77777777" w:rsidR="00421570" w:rsidRPr="0017344A" w:rsidRDefault="00000000">
            <w:pPr>
              <w:keepNext/>
              <w:spacing w:after="60" w:line="240" w:lineRule="auto"/>
              <w:jc w:val="left"/>
              <w:rPr>
                <w:rFonts w:ascii="Arial" w:hAnsi="Arial" w:cs="Arial"/>
              </w:rPr>
            </w:pPr>
            <w:r w:rsidRPr="0017344A">
              <w:rPr>
                <w:rFonts w:ascii="Arial" w:hAnsi="Arial" w:cs="Arial"/>
                <w:b/>
                <w:sz w:val="18"/>
                <w:szCs w:val="18"/>
              </w:rPr>
              <w:t>5. Documentation and interpretation</w:t>
            </w:r>
          </w:p>
        </w:tc>
      </w:tr>
      <w:tr w:rsidR="00421570" w:rsidRPr="0017344A" w14:paraId="640D79E6" w14:textId="77777777">
        <w:trPr>
          <w:cantSplit/>
        </w:trPr>
        <w:tc>
          <w:tcPr>
            <w:tcW w:w="8700" w:type="dxa"/>
          </w:tcPr>
          <w:p w14:paraId="162FA1A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Findings traceable to data, model version and review decisions.</w:t>
            </w:r>
          </w:p>
        </w:tc>
        <w:tc>
          <w:tcPr>
            <w:tcW w:w="900" w:type="dxa"/>
          </w:tcPr>
          <w:p w14:paraId="3C5A020D"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56E06A25" w14:textId="77777777">
        <w:trPr>
          <w:cantSplit/>
        </w:trPr>
        <w:tc>
          <w:tcPr>
            <w:tcW w:w="8700" w:type="dxa"/>
          </w:tcPr>
          <w:p w14:paraId="740A49D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lastRenderedPageBreak/>
              <w:t>Output quality and derived measurements reported separately.</w:t>
            </w:r>
          </w:p>
        </w:tc>
        <w:tc>
          <w:tcPr>
            <w:tcW w:w="900" w:type="dxa"/>
          </w:tcPr>
          <w:p w14:paraId="49BF9C6A"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56975247" w14:textId="77777777">
        <w:trPr>
          <w:cantSplit/>
        </w:trPr>
        <w:tc>
          <w:tcPr>
            <w:tcW w:w="8700" w:type="dxa"/>
          </w:tcPr>
          <w:p w14:paraId="7A54ECE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Reporting guideline followed (TRIPOD+AI, CLAIM or DECIDE-AI).</w:t>
            </w:r>
          </w:p>
        </w:tc>
        <w:tc>
          <w:tcPr>
            <w:tcW w:w="900" w:type="dxa"/>
          </w:tcPr>
          <w:p w14:paraId="27111D21"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C00DCD9" w14:textId="77777777">
        <w:trPr>
          <w:cantSplit/>
        </w:trPr>
        <w:tc>
          <w:tcPr>
            <w:tcW w:w="8700" w:type="dxa"/>
          </w:tcPr>
          <w:p w14:paraId="063C5F1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Stage of evidence stated; no unsupported claims of clinical benefit.</w:t>
            </w:r>
          </w:p>
        </w:tc>
        <w:tc>
          <w:tcPr>
            <w:tcW w:w="900" w:type="dxa"/>
          </w:tcPr>
          <w:p w14:paraId="55189B0B"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3EE90BB3" w14:textId="77777777">
        <w:trPr>
          <w:cantSplit/>
        </w:trPr>
        <w:tc>
          <w:tcPr>
            <w:tcW w:w="8700" w:type="dxa"/>
          </w:tcPr>
          <w:p w14:paraId="3825413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Records archived according to the data management plan.</w:t>
            </w:r>
          </w:p>
        </w:tc>
        <w:tc>
          <w:tcPr>
            <w:tcW w:w="900" w:type="dxa"/>
          </w:tcPr>
          <w:p w14:paraId="08444A74"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bl>
    <w:p w14:paraId="0D72976A" w14:textId="77777777" w:rsidR="00421570" w:rsidRPr="0017344A" w:rsidRDefault="00421570">
      <w:pPr>
        <w:spacing w:after="60"/>
        <w:rPr>
          <w:rFonts w:ascii="Arial" w:hAnsi="Arial" w:cs="Arial"/>
        </w:rPr>
      </w:pPr>
    </w:p>
    <w:sectPr w:rsidR="00421570" w:rsidRPr="0017344A" w:rsidSect="00034616">
      <w:headerReference w:type="default" r:id="rId18"/>
      <w:footerReference w:type="even" r:id="rId19"/>
      <w:footerReference w:type="default" r:id="rId20"/>
      <w:footerReference w:type="first" r:id="rId21"/>
      <w:pgSz w:w="12240" w:h="15840"/>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F727B8" w14:textId="77777777" w:rsidR="00100AF4" w:rsidRDefault="00100AF4">
      <w:pPr>
        <w:spacing w:after="0" w:line="240" w:lineRule="auto"/>
      </w:pPr>
      <w:r>
        <w:separator/>
      </w:r>
    </w:p>
  </w:endnote>
  <w:endnote w:type="continuationSeparator" w:id="0">
    <w:p w14:paraId="351C0440" w14:textId="77777777" w:rsidR="00100AF4" w:rsidRDefault="00100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notTrueType/>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30771110"/>
      <w:docPartObj>
        <w:docPartGallery w:val="Page Numbers (Bottom of Page)"/>
        <w:docPartUnique/>
      </w:docPartObj>
    </w:sdtPr>
    <w:sdtContent>
      <w:p w14:paraId="68B390AA" w14:textId="77777777" w:rsidR="0017344A" w:rsidRDefault="0017344A" w:rsidP="0068206B">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C1AC5D" w14:textId="77777777" w:rsidR="0017344A" w:rsidRDefault="0017344A" w:rsidP="0017344A">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4077218"/>
      <w:docPartObj>
        <w:docPartGallery w:val="Page Numbers (Bottom of Page)"/>
        <w:docPartUnique/>
      </w:docPartObj>
    </w:sdtPr>
    <w:sdtContent>
      <w:p w14:paraId="38FB5A36" w14:textId="77777777" w:rsidR="0017344A" w:rsidRDefault="0017344A" w:rsidP="0068206B">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C09D51" w14:textId="77777777" w:rsidR="00011352" w:rsidRPr="0017344A" w:rsidRDefault="00000000" w:rsidP="0017344A">
    <w:pPr>
      <w:pStyle w:val="Footer"/>
      <w:ind w:firstLine="360"/>
      <w:jc w:val="right"/>
      <w:rPr>
        <w:rFonts w:ascii="Calibri" w:hAnsi="Calibri" w:cs="Calibri"/>
      </w:rPr>
    </w:pPr>
    <w:r w:rsidRPr="0017344A">
      <w:rPr>
        <w:rFonts w:ascii="Calibri" w:hAnsi="Calibri" w:cs="Calibri"/>
        <w:sz w:val="18"/>
      </w:rPr>
      <w:t>NESTOR | D3.3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F59B4" w14:textId="77777777" w:rsidR="00311019" w:rsidRPr="001C75E0" w:rsidRDefault="00311019" w:rsidP="00604495">
    <w:pPr>
      <w:pStyle w:val="Footer"/>
      <w:ind w:left="709"/>
      <w:rPr>
        <w:sz w:val="18"/>
        <w:szCs w:val="18"/>
      </w:rPr>
    </w:pPr>
    <w:r w:rsidRPr="001C75E0">
      <w:rPr>
        <w:noProof/>
        <w:sz w:val="18"/>
        <w:szCs w:val="18"/>
      </w:rPr>
      <w:drawing>
        <wp:anchor distT="0" distB="0" distL="114300" distR="114300" simplePos="0" relativeHeight="251658240" behindDoc="1" locked="0" layoutInCell="1" allowOverlap="1" wp14:anchorId="56E98048" wp14:editId="21B56668">
          <wp:simplePos x="0" y="0"/>
          <wp:positionH relativeFrom="column">
            <wp:posOffset>-165916</wp:posOffset>
          </wp:positionH>
          <wp:positionV relativeFrom="paragraph">
            <wp:posOffset>36830</wp:posOffset>
          </wp:positionV>
          <wp:extent cx="578485" cy="386715"/>
          <wp:effectExtent l="0" t="0" r="0" b="0"/>
          <wp:wrapSquare wrapText="bothSides"/>
          <wp:docPr id="931381040" name="Picture 93138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ag_yellow_low.jpg"/>
                  <pic:cNvPicPr/>
                </pic:nvPicPr>
                <pic:blipFill>
                  <a:blip r:embed="rId1">
                    <a:extLst>
                      <a:ext uri="{28A0092B-C50C-407E-A947-70E740481C1C}">
                        <a14:useLocalDpi xmlns:a14="http://schemas.microsoft.com/office/drawing/2010/main" val="0"/>
                      </a:ext>
                    </a:extLst>
                  </a:blip>
                  <a:stretch>
                    <a:fillRect/>
                  </a:stretch>
                </pic:blipFill>
                <pic:spPr>
                  <a:xfrm>
                    <a:off x="0" y="0"/>
                    <a:ext cx="578485" cy="386715"/>
                  </a:xfrm>
                  <a:prstGeom prst="rect">
                    <a:avLst/>
                  </a:prstGeom>
                </pic:spPr>
              </pic:pic>
            </a:graphicData>
          </a:graphic>
        </wp:anchor>
      </w:drawing>
    </w:r>
    <w:r w:rsidRPr="001C75E0">
      <w:rPr>
        <w:noProof/>
        <w:sz w:val="18"/>
        <w:szCs w:val="18"/>
      </w:rPr>
      <w:t>Funded by the European Union. Views and opinions expressed are however those of the author(s) only and do not necessarily reflect those of the European Union or European Commission. Neither the European Union nor the granting authority can be held responsible for them.</w:t>
    </w:r>
  </w:p>
  <w:p w14:paraId="11A12443" w14:textId="77777777" w:rsidR="00311019" w:rsidRDefault="00311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31D3D2" w14:textId="77777777" w:rsidR="00100AF4" w:rsidRDefault="00100AF4">
      <w:pPr>
        <w:spacing w:after="0" w:line="240" w:lineRule="auto"/>
      </w:pPr>
      <w:r>
        <w:separator/>
      </w:r>
    </w:p>
  </w:footnote>
  <w:footnote w:type="continuationSeparator" w:id="0">
    <w:p w14:paraId="02B61EBE" w14:textId="77777777" w:rsidR="00100AF4" w:rsidRDefault="00100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78B8D" w14:textId="77777777" w:rsidR="00011352" w:rsidRDefault="00604495" w:rsidP="004A5873">
    <w:pPr>
      <w:pStyle w:val="Header"/>
      <w:jc w:val="center"/>
      <w:rPr>
        <w:sz w:val="18"/>
      </w:rPr>
    </w:pPr>
    <w:r>
      <w:rPr>
        <w:sz w:val="18"/>
      </w:rPr>
      <w:t>NESTOR</w:t>
    </w:r>
    <w:r w:rsidR="004A5873">
      <w:rPr>
        <w:sz w:val="18"/>
      </w:rPr>
      <w:t>-</w:t>
    </w:r>
    <w:r>
      <w:rPr>
        <w:sz w:val="18"/>
      </w:rPr>
      <w:t xml:space="preserve">D3.3 </w:t>
    </w:r>
    <w:r w:rsidRPr="00604495">
      <w:rPr>
        <w:sz w:val="18"/>
      </w:rPr>
      <w:t>Protocols and standard operating procedures on practical recommendations covering the data driven innovative method validation into the clinical practice</w:t>
    </w:r>
  </w:p>
  <w:p w14:paraId="5531501A" w14:textId="77777777" w:rsidR="0008027B" w:rsidRDefault="0008027B" w:rsidP="004A587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C3CE5"/>
    <w:multiLevelType w:val="hybridMultilevel"/>
    <w:tmpl w:val="C324EBA4"/>
    <w:lvl w:ilvl="0" w:tplc="30CE964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0975062">
    <w:abstractNumId w:val="8"/>
  </w:num>
  <w:num w:numId="2" w16cid:durableId="1972974409">
    <w:abstractNumId w:val="6"/>
  </w:num>
  <w:num w:numId="3" w16cid:durableId="1581519172">
    <w:abstractNumId w:val="5"/>
  </w:num>
  <w:num w:numId="4" w16cid:durableId="1201286422">
    <w:abstractNumId w:val="4"/>
  </w:num>
  <w:num w:numId="5" w16cid:durableId="721249532">
    <w:abstractNumId w:val="7"/>
  </w:num>
  <w:num w:numId="6" w16cid:durableId="1003976386">
    <w:abstractNumId w:val="3"/>
  </w:num>
  <w:num w:numId="7" w16cid:durableId="331567679">
    <w:abstractNumId w:val="2"/>
  </w:num>
  <w:num w:numId="8" w16cid:durableId="214242761">
    <w:abstractNumId w:val="1"/>
  </w:num>
  <w:num w:numId="9" w16cid:durableId="2073120654">
    <w:abstractNumId w:val="0"/>
  </w:num>
  <w:num w:numId="10" w16cid:durableId="58688881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52"/>
    <w:rsid w:val="00034616"/>
    <w:rsid w:val="0006063C"/>
    <w:rsid w:val="0008027B"/>
    <w:rsid w:val="00100AF4"/>
    <w:rsid w:val="0015074B"/>
    <w:rsid w:val="0017344A"/>
    <w:rsid w:val="0029639D"/>
    <w:rsid w:val="00311019"/>
    <w:rsid w:val="00326F90"/>
    <w:rsid w:val="00421570"/>
    <w:rsid w:val="0047397D"/>
    <w:rsid w:val="004A5873"/>
    <w:rsid w:val="00550384"/>
    <w:rsid w:val="00604495"/>
    <w:rsid w:val="006E563F"/>
    <w:rsid w:val="007570AE"/>
    <w:rsid w:val="007D3079"/>
    <w:rsid w:val="008960E3"/>
    <w:rsid w:val="008D4437"/>
    <w:rsid w:val="00922B2D"/>
    <w:rsid w:val="00A515EE"/>
    <w:rsid w:val="00AA1D8D"/>
    <w:rsid w:val="00B47730"/>
    <w:rsid w:val="00CB0664"/>
    <w:rsid w:val="00CD6083"/>
    <w:rsid w:val="00DC6626"/>
    <w:rsid w:val="00DD6CA6"/>
    <w:rsid w:val="00ED41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2D51E2"/>
  <w14:defaultImageDpi w14:val="300"/>
  <w15:docId w15:val="{1C44D47E-C3DF-45BA-BD15-3F3D8CE5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626"/>
    <w:pPr>
      <w:spacing w:after="140" w:line="259" w:lineRule="auto"/>
      <w:jc w:val="both"/>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eastAsiaTheme="majorEastAsia" w:cstheme="majorBidi"/>
      <w:b/>
      <w:bCs/>
      <w:color w:val="5030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eastAsiaTheme="majorEastAsia" w:cstheme="majorBidi"/>
      <w:b/>
      <w:bCs/>
      <w:color w:val="503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b/>
      <w:bCs/>
      <w:color w:val="5030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Loetelu (bulletid),Referncias,Bullet point,Enumeración 2,Source,Reference list,Paragrafo elenco,1st level - Bullet List Paragraph,Lettre d'introduction,List Paragraph1,Medium Grid 1 - Accent 21,Normal bullet 2,Bullet list,Task Body,Figure"/>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030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pPr>
      <w:spacing w:before="80" w:after="0" w:line="240" w:lineRule="auto"/>
      <w:jc w:val="left"/>
    </w:pPr>
    <w:rPr>
      <w:b/>
      <w:sz w:val="20"/>
    </w:rPr>
  </w:style>
  <w:style w:type="paragraph" w:styleId="TOC2">
    <w:name w:val="toc 2"/>
    <w:basedOn w:val="Normal"/>
    <w:next w:val="Normal"/>
    <w:uiPriority w:val="39"/>
    <w:unhideWhenUsed/>
    <w:pPr>
      <w:spacing w:after="0" w:line="240" w:lineRule="auto"/>
      <w:ind w:left="240"/>
      <w:jc w:val="left"/>
    </w:pPr>
    <w:rPr>
      <w:sz w:val="20"/>
    </w:rPr>
  </w:style>
  <w:style w:type="paragraph" w:styleId="TOC3">
    <w:name w:val="toc 3"/>
    <w:basedOn w:val="Normal"/>
    <w:next w:val="Normal"/>
    <w:autoRedefine/>
    <w:uiPriority w:val="39"/>
    <w:semiHidden/>
    <w:unhideWhenUsed/>
    <w:rsid w:val="0017344A"/>
    <w:pPr>
      <w:spacing w:after="0"/>
      <w:ind w:left="420"/>
      <w:jc w:val="left"/>
    </w:pPr>
    <w:rPr>
      <w:rFonts w:asciiTheme="minorHAnsi" w:hAnsiTheme="minorHAnsi"/>
      <w:sz w:val="20"/>
      <w:szCs w:val="20"/>
    </w:rPr>
  </w:style>
  <w:style w:type="paragraph" w:styleId="TOC4">
    <w:name w:val="toc 4"/>
    <w:basedOn w:val="Normal"/>
    <w:next w:val="Normal"/>
    <w:autoRedefine/>
    <w:uiPriority w:val="39"/>
    <w:semiHidden/>
    <w:unhideWhenUsed/>
    <w:rsid w:val="0017344A"/>
    <w:pPr>
      <w:spacing w:after="0"/>
      <w:ind w:left="630"/>
      <w:jc w:val="left"/>
    </w:pPr>
    <w:rPr>
      <w:rFonts w:asciiTheme="minorHAnsi" w:hAnsiTheme="minorHAnsi"/>
      <w:sz w:val="20"/>
      <w:szCs w:val="20"/>
    </w:rPr>
  </w:style>
  <w:style w:type="paragraph" w:styleId="TOC5">
    <w:name w:val="toc 5"/>
    <w:basedOn w:val="Normal"/>
    <w:next w:val="Normal"/>
    <w:autoRedefine/>
    <w:uiPriority w:val="39"/>
    <w:semiHidden/>
    <w:unhideWhenUsed/>
    <w:rsid w:val="0017344A"/>
    <w:pPr>
      <w:spacing w:after="0"/>
      <w:ind w:left="840"/>
      <w:jc w:val="left"/>
    </w:pPr>
    <w:rPr>
      <w:rFonts w:asciiTheme="minorHAnsi" w:hAnsiTheme="minorHAnsi"/>
      <w:sz w:val="20"/>
      <w:szCs w:val="20"/>
    </w:rPr>
  </w:style>
  <w:style w:type="paragraph" w:styleId="TOC6">
    <w:name w:val="toc 6"/>
    <w:basedOn w:val="Normal"/>
    <w:next w:val="Normal"/>
    <w:autoRedefine/>
    <w:uiPriority w:val="39"/>
    <w:semiHidden/>
    <w:unhideWhenUsed/>
    <w:rsid w:val="0017344A"/>
    <w:pPr>
      <w:spacing w:after="0"/>
      <w:ind w:left="1050"/>
      <w:jc w:val="left"/>
    </w:pPr>
    <w:rPr>
      <w:rFonts w:asciiTheme="minorHAnsi" w:hAnsiTheme="minorHAnsi"/>
      <w:sz w:val="20"/>
      <w:szCs w:val="20"/>
    </w:rPr>
  </w:style>
  <w:style w:type="paragraph" w:styleId="TOC7">
    <w:name w:val="toc 7"/>
    <w:basedOn w:val="Normal"/>
    <w:next w:val="Normal"/>
    <w:autoRedefine/>
    <w:uiPriority w:val="39"/>
    <w:semiHidden/>
    <w:unhideWhenUsed/>
    <w:rsid w:val="0017344A"/>
    <w:pPr>
      <w:spacing w:after="0"/>
      <w:ind w:left="1260"/>
      <w:jc w:val="left"/>
    </w:pPr>
    <w:rPr>
      <w:rFonts w:asciiTheme="minorHAnsi" w:hAnsiTheme="minorHAnsi"/>
      <w:sz w:val="20"/>
      <w:szCs w:val="20"/>
    </w:rPr>
  </w:style>
  <w:style w:type="paragraph" w:styleId="TOC8">
    <w:name w:val="toc 8"/>
    <w:basedOn w:val="Normal"/>
    <w:next w:val="Normal"/>
    <w:autoRedefine/>
    <w:uiPriority w:val="39"/>
    <w:semiHidden/>
    <w:unhideWhenUsed/>
    <w:rsid w:val="0017344A"/>
    <w:pPr>
      <w:spacing w:after="0"/>
      <w:ind w:left="1470"/>
      <w:jc w:val="left"/>
    </w:pPr>
    <w:rPr>
      <w:rFonts w:asciiTheme="minorHAnsi" w:hAnsiTheme="minorHAnsi"/>
      <w:sz w:val="20"/>
      <w:szCs w:val="20"/>
    </w:rPr>
  </w:style>
  <w:style w:type="paragraph" w:styleId="TOC9">
    <w:name w:val="toc 9"/>
    <w:basedOn w:val="Normal"/>
    <w:next w:val="Normal"/>
    <w:autoRedefine/>
    <w:uiPriority w:val="39"/>
    <w:semiHidden/>
    <w:unhideWhenUsed/>
    <w:rsid w:val="0017344A"/>
    <w:pPr>
      <w:spacing w:after="0"/>
      <w:ind w:left="1680"/>
      <w:jc w:val="left"/>
    </w:pPr>
    <w:rPr>
      <w:rFonts w:asciiTheme="minorHAnsi" w:hAnsiTheme="minorHAnsi"/>
      <w:sz w:val="20"/>
      <w:szCs w:val="20"/>
    </w:rPr>
  </w:style>
  <w:style w:type="character" w:styleId="Hyperlink">
    <w:name w:val="Hyperlink"/>
    <w:basedOn w:val="DefaultParagraphFont"/>
    <w:uiPriority w:val="99"/>
    <w:unhideWhenUsed/>
    <w:rsid w:val="0017344A"/>
    <w:rPr>
      <w:color w:val="0000FF" w:themeColor="hyperlink"/>
      <w:u w:val="single"/>
    </w:rPr>
  </w:style>
  <w:style w:type="character" w:styleId="PageNumber">
    <w:name w:val="page number"/>
    <w:basedOn w:val="DefaultParagraphFont"/>
    <w:uiPriority w:val="99"/>
    <w:semiHidden/>
    <w:unhideWhenUsed/>
    <w:rsid w:val="0017344A"/>
  </w:style>
  <w:style w:type="paragraph" w:styleId="FootnoteText">
    <w:name w:val="footnote text"/>
    <w:basedOn w:val="Normal"/>
    <w:link w:val="FootnoteTextChar"/>
    <w:uiPriority w:val="99"/>
    <w:semiHidden/>
    <w:unhideWhenUsed/>
    <w:rsid w:val="006E563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563F"/>
    <w:rPr>
      <w:rFonts w:ascii="Aptos" w:hAnsi="Aptos"/>
      <w:sz w:val="20"/>
      <w:szCs w:val="20"/>
    </w:rPr>
  </w:style>
  <w:style w:type="character" w:styleId="FootnoteReference">
    <w:name w:val="footnote reference"/>
    <w:basedOn w:val="DefaultParagraphFont"/>
    <w:uiPriority w:val="99"/>
    <w:semiHidden/>
    <w:unhideWhenUsed/>
    <w:rsid w:val="006E563F"/>
    <w:rPr>
      <w:vertAlign w:val="superscript"/>
    </w:rPr>
  </w:style>
  <w:style w:type="character" w:styleId="UnresolvedMention">
    <w:name w:val="Unresolved Mention"/>
    <w:basedOn w:val="DefaultParagraphFont"/>
    <w:uiPriority w:val="99"/>
    <w:semiHidden/>
    <w:unhideWhenUsed/>
    <w:rsid w:val="006E563F"/>
    <w:rPr>
      <w:color w:val="605E5C"/>
      <w:shd w:val="clear" w:color="auto" w:fill="E1DFDD"/>
    </w:rPr>
  </w:style>
  <w:style w:type="character" w:customStyle="1" w:styleId="ListParagraphChar">
    <w:name w:val="List Paragraph Char"/>
    <w:aliases w:val="Loetelu (bulletid) Char,Referncias Char,Bullet point Char,Enumeración 2 Char,Source Char,Reference list Char,Paragrafo elenco Char,1st level - Bullet List Paragraph Char,Lettre d'introduction Char,List Paragraph1 Char,Task Body Char"/>
    <w:link w:val="ListParagraph"/>
    <w:uiPriority w:val="34"/>
    <w:qFormat/>
    <w:locked/>
    <w:rsid w:val="008960E3"/>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eorgekazakis.github.io/nestor-sops/embryo-image-analysi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eorgekazakis.github.io/nestor-sops/embryo-image-analysis/" TargetMode="External"/><Relationship Id="rId17" Type="http://schemas.openxmlformats.org/officeDocument/2006/relationships/hyperlink" Target="https://georgekazakis.github.io/nestor-sops/" TargetMode="External"/><Relationship Id="rId2" Type="http://schemas.openxmlformats.org/officeDocument/2006/relationships/numbering" Target="numbering.xml"/><Relationship Id="rId16" Type="http://schemas.openxmlformats.org/officeDocument/2006/relationships/hyperlink" Target="https://georgekazakis.github.io/nestor-sop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orgekazakis.github.io/nestor-sops/practical-workflow/" TargetMode="External"/><Relationship Id="rId5" Type="http://schemas.openxmlformats.org/officeDocument/2006/relationships/webSettings" Target="webSettings.xml"/><Relationship Id="rId15" Type="http://schemas.openxmlformats.org/officeDocument/2006/relationships/hyperlink" Target="https://georgekazakis.github.io/nestor-sops/practical-workflow/" TargetMode="External"/><Relationship Id="rId23" Type="http://schemas.openxmlformats.org/officeDocument/2006/relationships/theme" Target="theme/theme1.xml"/><Relationship Id="rId10" Type="http://schemas.openxmlformats.org/officeDocument/2006/relationships/hyperlink" Target="https://nestorhorizoneu.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eorgekazakis.github.io/nestor-sops/" TargetMode="External"/><Relationship Id="rId14" Type="http://schemas.openxmlformats.org/officeDocument/2006/relationships/hyperlink" Target="https://georgekazakis.github.io/nestor-sops/embryo-image-analysis/" TargetMode="Externa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29</Pages>
  <Words>11861</Words>
  <Characters>74373</Characters>
  <Application>Microsoft Office Word</Application>
  <DocSecurity>0</DocSecurity>
  <Lines>1180</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NESTOR D3.3 - Clinical Validation Guidelines</dc:title>
  <dc:subject>Practical workflow and embryo image-analysis example</dc:subject>
  <dc:creator>Aspasia Destouni</dc:creator>
  <cp:keywords>NESTOR, D3.3, embryo analysis</cp:keywords>
  <dc:description/>
  <cp:lastModifiedBy>Aspasia Destouni</cp:lastModifiedBy>
  <cp:revision>6</cp:revision>
  <dcterms:created xsi:type="dcterms:W3CDTF">2026-09-29T09:07:00Z</dcterms:created>
  <dcterms:modified xsi:type="dcterms:W3CDTF">2026-09-29T10:41:00Z</dcterms:modified>
  <cp:category/>
</cp:coreProperties>
</file>