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40"/>
        </w:rPr>
        <w:t>Опыт работы</w:t>
      </w:r>
    </w:p>
    <w:p>
      <w:pPr>
        <w:spacing w:after="40"/>
      </w:pPr>
      <w:r>
        <w:rPr>
          <w:rFonts w:ascii="Calibri" w:hAnsi="Calibri"/>
          <w:b/>
          <w:color w:val="1F4D78"/>
          <w:sz w:val="26"/>
        </w:rPr>
        <w:t>Геоаналитик</w:t>
      </w:r>
      <w:r>
        <w:rPr>
          <w:rFonts w:ascii="Calibri" w:hAnsi="Calibri"/>
          <w:b/>
          <w:color w:val="1F4D78"/>
          <w:sz w:val="26"/>
        </w:rPr>
        <w:t xml:space="preserve"> | Институт дизайна и урбанистики ИТМО</w:t>
      </w:r>
    </w:p>
    <w:p>
      <w:pPr>
        <w:spacing w:after="200"/>
      </w:pPr>
      <w:r>
        <w:rPr>
          <w:rFonts w:ascii="Calibri" w:hAnsi="Calibri"/>
          <w:b w:val="0"/>
          <w:color w:val="595959"/>
          <w:sz w:val="22"/>
        </w:rPr>
        <w:t>Сентябрь 2021 — Июль 2026</w:t>
      </w:r>
    </w:p>
    <w:p>
      <w:pPr>
        <w:spacing w:after="200"/>
      </w:pPr>
      <w:r>
        <w:rPr>
          <w:rFonts w:ascii="Calibri" w:hAnsi="Calibri"/>
          <w:b w:val="0"/>
          <w:sz w:val="22"/>
        </w:rPr>
        <w:t>R&amp;D-лаборатория по разработке IT-решений для городской среды; исполнительный партнер Сбера, OTS Lab, MLA+, Urbanica.</w:t>
      </w:r>
    </w:p>
    <w:p>
      <w:pPr>
        <w:pStyle w:val="ListBullet"/>
      </w:pPr>
      <w:r>
        <w:t>Определил приоритеты развития транспортной сети и размещения логистических хабов, чтобы повысить доступность сервисов и эффективность логистики, на основе многослойного анализа 32 пространственных графов с учетом транспортной структуры, расположения узлов и климатических факторов.</w:t>
      </w:r>
    </w:p>
    <w:p>
      <w:pPr>
        <w:pStyle w:val="ListBullet"/>
      </w:pPr>
      <w:r>
        <w:t>Ускорил построение маршрутов до 80 раз при управляемой точности за счёт кластеризации дорожного графа и сокращения области поиска кратчайшего пути.</w:t>
      </w:r>
    </w:p>
    <w:p>
      <w:pPr>
        <w:pStyle w:val="ListBullet"/>
      </w:pPr>
      <w:r>
        <w:t>Повысил точность прогнозирования миграционных потоков, восстановив неполный граф связей между населенными пунктами через гравитационную модель.</w:t>
      </w:r>
    </w:p>
    <w:p>
      <w:pPr>
        <w:pStyle w:val="ListBullet"/>
      </w:pPr>
      <w:r>
        <w:t>Автоматизировал подбор оптимальных характеристик узлов сети для максимизации входящих потоков, обучив модель CatBoost для предсказания изменений миграций на основе параметров качества жизни населенных пунктов.</w:t>
      </w:r>
    </w:p>
    <w:p>
      <w:pPr>
        <w:pStyle w:val="ListBullet"/>
      </w:pPr>
      <w:r>
        <w:t>Оценил численность населения в каждом доме города, восстановив пропущенные данные о высотности зданий с точностью до 1 этажа и ошибкой менее 15% с помощью модели дерева решений и пространственной автокорреляции.</w:t>
      </w:r>
    </w:p>
    <w:p>
      <w:pPr>
        <w:pStyle w:val="ListBullet"/>
      </w:pPr>
      <w:r>
        <w:t>Ускорил ручную обработку жалоб горожан в комментариях соцсетей профильным комитетом за счёт разработки алгоритма выделения адресов из неструктурированного текста, что позволило перейти с платного геокодера на бесплатный.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Опыт работы — Георгий Концевик</dc:title>
  <dc:subject/>
  <dc:creator>Георгий Концевик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