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The role of sustainability in industrial development</w:t>
      </w:r>
    </w:p>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Mr. Dr. Lamia Shehata</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assistant. Professor of industrial engineering</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at the German University in Cairo</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introduction</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There has been significant interest within Egypt's business sector in developing ways to adopt sustainable principles that meet the needs of both local industrial firms and the broader Egyptian community, as well as aligning with the principles of sustainable development enshrined in Vision 2030, Egypt's long-term economic development plan.</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According to the Lima Declaration, the United Nations Industrial Development Organization (UNIDO) states that inclusive and sustainable industrial development (ISID) is a key driver for the successful integration of economic, social and environmental dimensions, which is crucial for the full implementation of sustainable development for sustainable development. Benefits for Future Generations (UNIDO 2013) Environmental, Social and Economic Dimensions.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Growing global awareness of the challenges of sustainability dimensions has prompted companies, investors and consumers to increasingly integrate sustainability factors into their decision-making processes. As the concept of business success and value creation evolves, efforts are being made to regulate sustainability standards as a way to guide responsible industrial policies and encourage companies to take actions to ensure environmental sustainability, positive social impact, and strong corporate governance.</w:t>
      </w:r>
    </w:p>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This workshop aims to:</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Ø Identify and highlight the tools, techniques and roadmaps adopted by decision makers to apply and evaluate sustainability goals in their organizations in the context of the Sustainable Development Goals (SDGs)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Ø Develop an updated road map for industrial development in light of the dimensions and objectives of sustainability.</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Ø Discussing the obstacles and challenges facing sustainable industrial development</w:t>
      </w:r>
    </w:p>
    <w:p>
      <w:pPr>
        <w:pStyle w:val="Normal"/>
        <w:spacing w:lineRule="auto" w:line="240" w:before="0" w:after="0"/>
        <w:jc w:val="center"/>
        <w:rPr>
          <w:b w:val="false"/>
          <w:b w:val="false"/>
          <w:bCs w:val="false"/>
        </w:rPr>
      </w:pPr>
      <w:r>
        <w:rPr>
          <w:b w:val="false"/>
          <w:bCs w:val="false"/>
        </w:rPr>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Workshop focal areas: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Provide a comprehensive approach to solving issues of sustainable industrial development; following</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Perspectives to be considered in discussions: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Sustainability goals, most notably in leading industries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Enabling the industrial transition to net zero</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Reducing emissions and waste resulting from operation</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Raising industrial awareness and expertise in sustainability issues</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 Developing capabilities to meet the needs of the labor market</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By deducing different points of view and requirements, coordinating development activities, and working together to coordinate these activities, Y</w:t>
      </w:r>
    </w:p>
    <w:p>
      <w:pPr>
        <w:pStyle w:val="Normal"/>
        <w:spacing w:lineRule="auto" w:line="240" w:before="0" w:after="0"/>
        <w:jc w:val="center"/>
        <w:rPr>
          <w:b w:val="false"/>
          <w:b w:val="false"/>
          <w:bCs w:val="false"/>
        </w:rPr>
      </w:pPr>
      <w:r>
        <w:rPr>
          <w:rFonts w:eastAsia="Yu Gothic UI" w:cs="Arial" w:ascii="Yu Gothic UI" w:hAnsi="Yu Gothic UI"/>
          <w:b w:val="false"/>
          <w:bCs w:val="false"/>
          <w:sz w:val="32"/>
          <w:szCs w:val="32"/>
          <w:lang w:bidi="ar-EG"/>
        </w:rPr>
        <w:t>It enabled the industrial progress of our nation to be greatly accelerated.</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Yu Gothic U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LibreOffice/7.4.2.3$Linux_X86_64 LibreOffice_project/40$Build-3</Application>
  <AppVersion>15.0000</AppVersion>
  <Pages>2</Pages>
  <Words>352</Words>
  <Characters>2251</Characters>
  <CharactersWithSpaces>2581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2023-03-26T12:00:00Z</dcterms:created>
  <dc:creator>Windows User</dc:creator>
  <dc:description/>
  <dc:language>en-US</dc:language>
  <cp:lastModifiedBy/>
  <dcterms:modified xsi:type="dcterms:W3CDTF">2023-05-27T20:14:29Z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