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A3A"/>
          <w:sz w:val="40"/>
          <w:szCs w:val="40"/>
        </w:rPr>
        <w:t xml:space="preserve">Level 1 — Single Agent Baseline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Analysis and Hallucination Assessment</w:t>
      </w:r>
    </w:p>
    <w:p>
      <w:pPr>
        <w:pBdr>
          <w:bottom w:val="single" w:color="2B3A4E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Heterogeneous Agent Organizations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Bachelor’s Thesis — Experimental Results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Model: Qwen 2.5:14B (Alibaba Cloud)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via Ollama (local inference)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Experiment Configuration</w:t>
      </w:r>
    </w:p>
    <w:p>
      <w:pPr>
        <w:spacing w:after="200" w:line="276"/>
      </w:pPr>
      <w:r>
        <w:t xml:space="preserve">This section documents the experimental setup for the Level 1 baseline of the progressive complexity experiment. At this level, a single LLM agent receives the client business question and produces an entire consulting report without any role specialization, tool access, or external validation.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Complexity Level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Level 1 — Single Agent (Baseline)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 2.5:14B (qwen2.5:14b)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Provider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Alibaba Cloud (QWEN), run locally via Ollama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Parameter Count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billion parameters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Inference Method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inference via Ollama (no API calls)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Number of Agents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(single generalist agent)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role specialization; generic consulting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Available Tools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(pure LLM generation)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Validation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(no schema enforcement)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Organizational Structure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(single agent)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t xml:space="preserve">1.1 Client Prompts</w:t>
      </w:r>
    </w:p>
    <w:p>
      <w:pPr>
        <w:spacing w:after="120" w:line="276"/>
      </w:pPr>
      <w:r>
        <w:t xml:space="preserve">The agent was tested with two variations of a client business question to assess the impact of prompt specificity on output quality.</w:t>
      </w:r>
    </w:p>
    <w:p>
      <w:pPr>
        <w:spacing w:after="80"/>
      </w:pPr>
      <w:r>
        <w:rPr>
          <w:b/>
          <w:bCs/>
        </w:rPr>
        <w:t xml:space="preserve">Prompt A (Vague): </w:t>
      </w:r>
      <w:r>
        <w:rPr>
          <w:i/>
          <w:iCs/>
        </w:rPr>
        <w:t xml:space="preserve">"We are a mid size company. Is it worth it to open a business in Romania? We specialize in PC cleaning."</w:t>
      </w:r>
    </w:p>
    <w:p>
      <w:pPr>
        <w:spacing w:after="200"/>
      </w:pPr>
      <w:r>
        <w:rPr>
          <w:b/>
          <w:bCs/>
        </w:rPr>
        <w:t xml:space="preserve">Prompt B (Detailed): </w:t>
      </w:r>
      <w:r>
        <w:rPr>
          <w:i/>
          <w:iCs/>
        </w:rPr>
        <w:t xml:space="preserve">"We are a mid-size German IT services company with 50 employees and €2M annual revenue. We specialize in physical PC cleaning and maintenance for corporate clients. Should we expand into Romania? Consider the Bucharest market specifically, our budget is around €100K for the first year, and we need to understand local competition, labor costs, and regulatory requirements."</w:t>
      </w:r>
    </w:p>
    <w:p>
      <w:r>
        <w:br w:type="page"/>
      </w:r>
    </w:p>
    <w:p>
      <w:pPr>
        <w:pStyle w:val="Heading1"/>
      </w:pPr>
      <w:r>
        <w:t xml:space="preserve">2. Hallucination Analysis</w:t>
      </w:r>
    </w:p>
    <w:p>
      <w:pPr>
        <w:spacing w:after="200" w:line="276"/>
      </w:pPr>
      <w:r>
        <w:t xml:space="preserve">Both reports were analyzed for factual accuracy. Hallucinations were categorized as: </w:t>
      </w:r>
      <w:r>
        <w:rPr>
          <w:b/>
          <w:bCs/>
        </w:rPr>
        <w:t xml:space="preserve">fabricated data</w:t>
      </w:r>
      <w:r>
        <w:t xml:space="preserve"> (invented numbers presented as facts), </w:t>
      </w:r>
      <w:r>
        <w:rPr>
          <w:b/>
          <w:bCs/>
        </w:rPr>
        <w:t xml:space="preserve">fabricated entities</w:t>
      </w:r>
      <w:r>
        <w:t xml:space="preserve"> (non-existent companies or organizations cited as real), </w:t>
      </w:r>
      <w:r>
        <w:rPr>
          <w:b/>
          <w:bCs/>
        </w:rPr>
        <w:t xml:space="preserve">inaccurate claims</w:t>
      </w:r>
      <w:r>
        <w:t xml:space="preserve"> (verifiably wrong statements), and </w:t>
      </w:r>
      <w:r>
        <w:rPr>
          <w:b/>
          <w:bCs/>
        </w:rPr>
        <w:t xml:space="preserve">unsupported assertions</w:t>
      </w:r>
      <w:r>
        <w:t xml:space="preserve"> (claims presented with false confidence and no evidence).</w:t>
      </w:r>
    </w:p>
    <w:p>
      <w:pPr>
        <w:pStyle w:val="Heading2"/>
      </w:pPr>
      <w:r>
        <w:t xml:space="preserve">2.1 Report A (Vague Prompt)</w:t>
      </w:r>
    </w:p>
    <w:p>
      <w:pPr>
        <w:pStyle w:val="Heading3"/>
      </w:pPr>
      <w:r>
        <w:t xml:space="preserve">Market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Romania internet penetration ~60%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Inaccurate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 penetration is approximately 85–90%. The model appears to use outdated or fabricated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Population ~19 million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Approximately correct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estimates place Romania’s population at approximately 19.0–19.1 million.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specific competitors named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Unsupported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report refers vaguely to “several local companies” without naming any, providing no verifiable information.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Financial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 lease ~€10,000/year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Fabricated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source or methodology provided. No distinction between cities. Suspiciously round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Staffing ~€50,000/year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Fabricated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basis for this figure. Does not specify number of employees, roles, or salary benchmarks.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SME clients at €1,000 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Fabricated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Entirely invented assumption. No market sizing or conversion rate analysis to justify 100 clients.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ROI of 78.57% in 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Derived from fabricated 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Mathematically derived from invented numbers. Appears rigorous but is built on no foundation.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Break-even at ~13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Derived from fabricated 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issue. Also conflates one-time and recurring costs in the calculation.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Report B (Detailed Prompt)</w:t>
      </w:r>
    </w:p>
    <w:p>
      <w:pPr>
        <w:pStyle w:val="Heading3"/>
      </w:pPr>
      <w:r>
        <w:t xml:space="preserve">Market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Bucharest IT market ~€150M annually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Fabricated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source provided. This figure appears entirely invented to sound specific and authoritative.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Growth rate 7–9% annually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Fabricated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Plausible-sounding range but no source or data behind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"Tech Maintenance Solutions", "IT Care Plus"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Fabricated entities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These companies most likely do not exist. The model invented specific names to appear more researched.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 market share gain in 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Fabricated / Unrealistic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new entrant capturing 20% market share in the first year is wildly unrealistic and has no justification.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Financial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Break-even at 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Internal inconsistency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model’s own numbers contradict this: €5K/month operating costs = €60K/year + €100K initial = €160K, but projected revenue is only €120K. This is a loss, not a break-even.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ROI of 15% in Year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Derived from fabricated 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on invented cost and revenue figures with no underlying methodology.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Gross margin 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Fabricated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cost structure breakdown to support this margin claim.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Language Anomaly</w:t>
      </w:r>
    </w:p>
    <w:p>
      <w:pPr>
        <w:spacing w:after="200" w:line="276"/>
      </w:pPr>
      <w:r>
        <w:t xml:space="preserve">A notable anomaly occurred in Report B: the model switched from English to Chinese mid-sentence in the Strategic Recommendation section. The Chinese text translates roughly to: </w:t>
      </w:r>
      <w:r>
        <w:rPr>
          <w:i/>
          <w:iCs/>
        </w:rPr>
        <w:t xml:space="preserve">"stable financial analysis and risk management, it is recommended to adopt a gradual market entry approach. This strategy helps the company adapt to the local market while reducing initial costs and risks."</w:t>
      </w:r>
      <w:r>
        <w:t xml:space="preserve"> This is a known behavior of the Qwen model family (developed by Alibaba Cloud), which occasionally falls back to Chinese during longer generations. This artifact is relevant to the thesis as it demonstrates a practical challenge of using heterogeneous models from different linguistic and cultural origins.</w:t>
      </w:r>
    </w:p>
    <w:p>
      <w:r>
        <w:br w:type="page"/>
      </w:r>
    </w:p>
    <w:p>
      <w:pPr>
        <w:pStyle w:val="Heading1"/>
      </w:pPr>
      <w:r>
        <w:t xml:space="preserve">3. Comparative Analysis: Vague vs. Detailed Prompt</w:t>
      </w:r>
    </w:p>
    <w:p>
      <w:pPr>
        <w:spacing w:after="200" w:line="276"/>
      </w:pPr>
      <w:r>
        <w:t xml:space="preserve">The following table compares the two reports across key quality dimensions to assess the impact of prompt specificity at Level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A (Vague Prompt)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B (Detailed Prompt)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Generic; applies to any country. No city-level focus.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Focused on Bucharest. Tailored to German company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competitor names. Vague references to "several local firms."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Names specific (but fabricated) competitors. Provides market size figure.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Financial Rigor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numbers fabricated. Simple arithmetic, no methodology.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numbers still fabricated. Internal math is inconsistent (costs exceed revenue but claims 8-month break-even).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Strategic Options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 generic options (full entry vs. partnership). Shallow pros/cons.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 options (gradual, rapid, JV). More differentiated but still generic.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Template-level risks. Could apply to any market entry scenario.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Slightly more specific (mentions GDPR, cultural barriers). Still generic overall.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Hallucination Severity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Moderate: fabricated numbers but avoids naming fake entities.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Higher: fabricates company names, market size figures, and produces internally inconsistent math.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Self-Evaluation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Inflated: 8–9/10 across all criteria.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Equally inflated: 8–9/10 across all criteria.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 Issues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Chinese language fallback mid-sentence in recommendation section.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Self-Evaluation vs. Assessed Quality</w:t>
      </w:r>
    </w:p>
    <w:p>
      <w:pPr>
        <w:spacing w:after="200" w:line="276"/>
      </w:pPr>
      <w:r>
        <w:t xml:space="preserve">Both reports included self-evaluation scores generated by the same agent. The table below compares the agent’s self-assessed scores with a more realistic assessment based on the hallucination analysis above.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Assessed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 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Assessed 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6/10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Covers sections superficially. No real depth in any area.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Majority of data points are fabricated or inaccurate.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Coherence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6/10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5/10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B has internal math contradictions and a language switch.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Well-organized sections. This is the strongest dimension.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4/10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5/10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Recommendations are generic and not grounded in real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 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3/10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4/10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counterarguments, no sensitivity analysis, no source citations.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Conclusions for Level 1</w:t>
      </w:r>
    </w:p>
    <w:p>
      <w:pPr>
        <w:pStyle w:val="Heading2"/>
      </w:pPr>
      <w:r>
        <w:t xml:space="preserve">5.1 Key Findings</w:t>
      </w:r>
    </w:p>
    <w:p>
      <w:pPr>
        <w:spacing w:after="160" w:line="276"/>
      </w:pPr>
      <w:r>
        <w:rPr>
          <w:b/>
          <w:bCs/>
        </w:rPr>
        <w:t xml:space="preserve">Hallucination is the dominant failure mode. </w:t>
      </w:r>
      <w:r>
        <w:t xml:space="preserve">Without access to external tools (web search, calculators, databases), the single agent fabricates market data, financial figures, and even company names. The numbers are presented with false precision (e.g., “78.57% ROI”, “€150M market size”) which creates an illusion of rigor.</w:t>
      </w:r>
    </w:p>
    <w:p>
      <w:pPr>
        <w:spacing w:after="160" w:line="276"/>
      </w:pPr>
      <w:r>
        <w:rPr>
          <w:b/>
          <w:bCs/>
        </w:rPr>
        <w:t xml:space="preserve">Better prompts improve structure but not accuracy. </w:t>
      </w:r>
      <w:r>
        <w:t xml:space="preserve">The detailed prompt (Report B) produced a more focused and relevant report, but the fabrication rate was comparable or even worse — the model invented specific company names and produced internally inconsistent financial calculations. Prompt engineering alone cannot solve the tool access problem.</w:t>
      </w:r>
    </w:p>
    <w:p>
      <w:pPr>
        <w:spacing w:after="160" w:line="276"/>
      </w:pPr>
      <w:r>
        <w:rPr>
          <w:b/>
          <w:bCs/>
        </w:rPr>
        <w:t xml:space="preserve">Self-evaluation is unreliable. </w:t>
      </w:r>
      <w:r>
        <w:t xml:space="preserve">The agent consistently rated its own output 8–9/10 across all criteria, even when accuracy was objectively poor. This confirms that self-evaluation within the same agent is insufficient and supports the need for an independent Evaluator Agent (introduced at Level 2).</w:t>
      </w:r>
    </w:p>
    <w:p>
      <w:pPr>
        <w:spacing w:after="160" w:line="276"/>
      </w:pPr>
      <w:r>
        <w:rPr>
          <w:b/>
          <w:bCs/>
        </w:rPr>
        <w:t xml:space="preserve">Model-specific artifacts emerge. </w:t>
      </w:r>
      <w:r>
        <w:t xml:space="preserve">The Chinese language fallback in Report B is a direct consequence of using Qwen 2.5, a model developed by Alibaba Cloud with Chinese as a primary training language. This is a practical consideration for heterogeneous multi-agent systems: model provenance can introduce unexpected linguistic artifacts.</w:t>
      </w:r>
    </w:p>
    <w:p>
      <w:pPr>
        <w:pStyle w:val="Heading2"/>
      </w:pPr>
      <w:r>
        <w:t xml:space="preserve">5.2 Implications for Higher Levels</w:t>
      </w:r>
    </w:p>
    <w:p>
      <w:pPr>
        <w:spacing w:after="160" w:line="276"/>
      </w:pPr>
      <w:r>
        <w:t xml:space="preserve">These Level 1 results establish the baseline against which all higher complexity levels will be compared. The findings directly motivate the architectural decisions at subsequent levels:</w:t>
      </w:r>
    </w:p>
    <w:p>
      <w:pPr>
        <w:spacing w:after="100" w:line="276"/>
      </w:pPr>
      <w:r>
        <w:rPr>
          <w:b/>
          <w:bCs/>
        </w:rPr>
        <w:t xml:space="preserve">Level 2 </w:t>
      </w:r>
      <w:r>
        <w:t xml:space="preserve">introduces an independent Evaluator Agent, which addresses the self-evaluation inflation observed here. The evaluator should produce scores closer to the “assessed” column in the table above.</w:t>
      </w:r>
    </w:p>
    <w:p>
      <w:pPr>
        <w:spacing w:after="100" w:line="276"/>
      </w:pPr>
      <w:r>
        <w:rPr>
          <w:b/>
          <w:bCs/>
        </w:rPr>
        <w:t xml:space="preserve">Level 3 </w:t>
      </w:r>
      <w:r>
        <w:t xml:space="preserve">introduces role specialization (Engagement Manager, Market Researcher, Strategy Consultant), which should reduce the breadth-without-depth problem visible in both reports.</w:t>
      </w:r>
    </w:p>
    <w:p>
      <w:pPr>
        <w:spacing w:after="100" w:line="276"/>
      </w:pPr>
      <w:r>
        <w:rPr>
          <w:b/>
          <w:bCs/>
        </w:rPr>
        <w:t xml:space="preserve">Level 4 </w:t>
      </w:r>
      <w:r>
        <w:t xml:space="preserve">adds tool access for specialized agents (search_web, calculate, assess_risk). This directly addresses the dominant failure mode: hallucinated data. A Market Researcher with web search should return real competitor names; a Financial Analyst with calculation tools should produce internally consistent projections.</w:t>
      </w:r>
    </w:p>
    <w:p>
      <w:pPr>
        <w:spacing w:after="200" w:line="276"/>
      </w:pPr>
      <w:r>
        <w:rPr>
          <w:b/>
          <w:bCs/>
        </w:rPr>
        <w:t xml:space="preserve">Level 5 </w:t>
      </w:r>
      <w:r>
        <w:t xml:space="preserve">adds organizational workflows (pipeline, hierarchical, hybrid). The hierarchical and hybrid structures introduce review loops that could catch issues like the financial inconsistency in Report B before they reach the final deliverable.</w:t>
      </w:r>
    </w:p>
    <w:p>
      <w:pPr>
        <w:pStyle w:val="Heading2"/>
      </w:pPr>
      <w:r>
        <w:t xml:space="preserve">5.3 Model Assessment</w:t>
      </w:r>
    </w:p>
    <w:p>
      <w:pPr>
        <w:spacing w:after="200" w:line="276"/>
      </w:pPr>
      <w:r>
        <w:t xml:space="preserve">Qwen 2.5:14B demonstrated adequate capability for generating structured text and following a consulting report format. Its main weaknesses at Level 1 are shared by most LLMs in this setting: confident fabrication of data in the absence of tools, inability to self-assess quality accurately, and occasional language fallback to Chinese. These are architectural limitations, not model-specific failures — any similarly-sized model without tool access would exhibit comparable hallucination patterns. The model remains a valid choice for roles that do not require factual grounding (e.g., the Engagement Manager at higher levels).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Level 1 — Single Agent Baseline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A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3A4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4F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2026-03-09T19:33:30.643Z</dcterms:created>
  <dcterms:modified xsi:type="dcterms:W3CDTF">2026-03-09T19:33:30.644Z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