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86D9A">
      <w:pPr>
        <w:jc w:val="center"/>
      </w:pPr>
      <w:r>
        <w:rPr>
          <w:rFonts w:ascii="微软雅黑" w:hAnsi="微软雅黑" w:eastAsia="微软雅黑"/>
          <w:b/>
          <w:color w:val="1F497D"/>
          <w:sz w:val="32"/>
        </w:rPr>
        <w:t>题目三：强化学习动态因子选择</w:t>
      </w:r>
    </w:p>
    <w:p w14:paraId="1B2A2E57"/>
    <w:p w14:paraId="3D5A9498">
      <w:pPr>
        <w:pStyle w:val="3"/>
        <w:jc w:val="left"/>
      </w:pPr>
      <w:r>
        <w:rPr>
          <w:rFonts w:ascii="微软雅黑" w:hAnsi="微软雅黑" w:eastAsia="微软雅黑"/>
        </w:rPr>
        <w:t>一、思路</w:t>
      </w:r>
    </w:p>
    <w:p w14:paraId="75AE7051">
      <w:pPr>
        <w:spacing w:after="60"/>
      </w:pPr>
      <w:r>
        <w:rPr>
          <w:rFonts w:ascii="微软雅黑" w:hAnsi="微软雅黑" w:eastAsia="微软雅黑"/>
          <w:b w:val="0"/>
          <w:sz w:val="22"/>
        </w:rPr>
        <w:t>因子有效性随市场状态变化，动量因子在趋势行情有效，反转因子在震荡行情有效，固定权重无法适应这种切换。</w:t>
      </w:r>
    </w:p>
    <w:p w14:paraId="73B3625E">
      <w:pPr>
        <w:spacing w:after="60"/>
      </w:pPr>
      <w:r>
        <w:rPr>
          <w:rFonts w:ascii="微软雅黑" w:hAnsi="微软雅黑" w:eastAsia="微软雅黑"/>
          <w:b w:val="0"/>
          <w:sz w:val="22"/>
        </w:rPr>
        <w:t>直接用 XGBoost 预测各因子下期 IC、按 IC 大小分配权重是可行的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也是我一直在操作的方法）</w:t>
      </w:r>
      <w:r>
        <w:rPr>
          <w:rFonts w:ascii="微软雅黑" w:hAnsi="微软雅黑" w:eastAsia="微软雅黑"/>
          <w:b w:val="0"/>
          <w:sz w:val="22"/>
        </w:rPr>
        <w:t>，但这里用强化学习做了一层粗分类——先判断当前适合哪类配方，再用 XGBoost 在配方内微调权重。两层分工：</w:t>
      </w:r>
    </w:p>
    <w:p w14:paraId="4B1BC301">
      <w:pPr>
        <w:shd w:val="clear" w:color="auto" w:fill="F2F2F2"/>
        <w:spacing w:before="60" w:after="60"/>
        <w:ind w:left="283"/>
        <w:rPr>
          <w:rFonts w:ascii="Courier New" w:hAnsi="Courier New" w:eastAsia="宋体"/>
          <w:sz w:val="18"/>
        </w:rPr>
      </w:pPr>
      <w:r>
        <w:rPr>
          <w:rFonts w:ascii="Courier New" w:hAnsi="Courier New" w:eastAsia="宋体"/>
          <w:sz w:val="18"/>
        </w:rPr>
        <w:t>第一层（FQI）：观察市场状态 → 选配方（动量型 / 反转型 / 等权...）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第二层（XGBoost）：选好配方后 → 预测配方内各因子下期IC → 精确权重</w:t>
      </w:r>
    </w:p>
    <w:p w14:paraId="17E26C80">
      <w:pPr>
        <w:shd w:val="clear" w:color="auto" w:fill="F2F2F2"/>
        <w:spacing w:before="60" w:after="60"/>
        <w:ind w:left="283"/>
        <w:rPr>
          <w:rFonts w:ascii="Courier New" w:hAnsi="Courier New" w:eastAsia="宋体"/>
          <w:sz w:val="18"/>
        </w:rPr>
      </w:pPr>
    </w:p>
    <w:p w14:paraId="09EA17BA">
      <w:pPr>
        <w:spacing w:after="6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可以结合市场因素做判断，然后进行ic内的优化</w:t>
      </w:r>
    </w:p>
    <w:p w14:paraId="511B510B">
      <w:pPr>
        <w:pStyle w:val="3"/>
        <w:jc w:val="left"/>
      </w:pPr>
      <w:r>
        <w:rPr>
          <w:rFonts w:ascii="微软雅黑" w:hAnsi="微软雅黑" w:eastAsia="微软雅黑"/>
        </w:rPr>
        <w:t>二、模拟数据生成（gen_data.py）</w:t>
      </w:r>
    </w:p>
    <w:p w14:paraId="2A63E079">
      <w:pPr>
        <w:spacing w:after="60"/>
      </w:pPr>
      <w:r>
        <w:rPr>
          <w:rFonts w:ascii="微软雅黑" w:hAnsi="微软雅黑" w:eastAsia="微软雅黑"/>
          <w:b w:val="0"/>
          <w:sz w:val="22"/>
        </w:rPr>
        <w:t>300只股票 × 1500个交易日，10个候选因子，2种市场状态（Markov链切换）。</w:t>
      </w:r>
    </w:p>
    <w:p w14:paraId="401CAAA7">
      <w:pPr>
        <w:spacing w:after="60"/>
      </w:pPr>
      <w:r>
        <w:rPr>
          <w:rFonts w:ascii="微软雅黑" w:hAnsi="微软雅黑" w:eastAsia="微软雅黑"/>
          <w:b w:val="0"/>
          <w:sz w:val="22"/>
        </w:rPr>
        <w:t>核心设计：因子有效性在两种状态下方向相反，模拟真实的 Regime 切换。</w:t>
      </w:r>
    </w:p>
    <w:p w14:paraId="4E18FE3E"/>
    <w:p w14:paraId="5C12FC0C">
      <w:pPr>
        <w:spacing w:after="60"/>
      </w:pPr>
      <w:r>
        <w:rPr>
          <w:rFonts w:ascii="微软雅黑" w:hAnsi="微软雅黑" w:eastAsia="微软雅黑"/>
          <w:b w:val="0"/>
          <w:sz w:val="22"/>
        </w:rPr>
        <w:t>收益 = 市场公共涨跌 + Σ(因子 × 当前状态载荷) + 个股噪声(σ=0.03)。因子间有截面相关结构（公共成分0.4）+ 时序自相关（AR系数0.3），接近真实数据特征。</w:t>
      </w:r>
    </w:p>
    <w:p w14:paraId="27F39610">
      <w:pPr>
        <w:pStyle w:val="3"/>
        <w:jc w:val="left"/>
      </w:pPr>
      <w:r>
        <w:rPr>
          <w:rFonts w:ascii="微软雅黑" w:hAnsi="微软雅黑" w:eastAsia="微软雅黑"/>
        </w:rPr>
        <w:t>三、环境设计（rl_env.py）</w:t>
      </w:r>
    </w:p>
    <w:p w14:paraId="5A0A5DCB">
      <w:pPr>
        <w:pStyle w:val="4"/>
        <w:jc w:val="left"/>
      </w:pPr>
      <w:r>
        <w:rPr>
          <w:rFonts w:ascii="微软雅黑" w:hAnsi="微软雅黑" w:eastAsia="微软雅黑"/>
        </w:rPr>
        <w:t>状态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4535"/>
      </w:tblGrid>
      <w:tr w14:paraId="3A063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1F2"/>
          </w:tcPr>
          <w:p w14:paraId="19642F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w="2835" w:type="dxa"/>
            <w:shd w:val="clear" w:color="auto" w:fill="D9E1F2"/>
          </w:tcPr>
          <w:p w14:paraId="70E520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w="4535" w:type="dxa"/>
            <w:shd w:val="clear" w:color="auto" w:fill="D9E1F2"/>
          </w:tcPr>
          <w:p w14:paraId="2EE7A6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 w14:paraId="2E80B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45018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1~10</w:t>
            </w:r>
          </w:p>
        </w:tc>
        <w:tc>
          <w:tcPr>
            <w:tcW w:w="2835" w:type="dxa"/>
          </w:tcPr>
          <w:p w14:paraId="75CEF0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各因子过去20日滚动RankIC</w:t>
            </w:r>
          </w:p>
        </w:tc>
        <w:tc>
          <w:tcPr>
            <w:tcW w:w="4535" w:type="dxa"/>
          </w:tcPr>
          <w:p w14:paraId="02E640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趋势行情时动量IC走高，震荡时反转IC走高，间接反映市场状态</w:t>
            </w:r>
          </w:p>
        </w:tc>
      </w:tr>
      <w:tr w14:paraId="509B2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66B86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w="2835" w:type="dxa"/>
          </w:tcPr>
          <w:p w14:paraId="026BFC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市场截面收益率波动率</w:t>
            </w:r>
          </w:p>
        </w:tc>
        <w:tc>
          <w:tcPr>
            <w:tcW w:w="4535" w:type="dxa"/>
          </w:tcPr>
          <w:p w14:paraId="0AF455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高波动 = 震荡分化</w:t>
            </w:r>
          </w:p>
        </w:tc>
      </w:tr>
      <w:tr w14:paraId="545AC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E4F3B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w="2835" w:type="dxa"/>
          </w:tcPr>
          <w:p w14:paraId="428BAB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市场近5日平均收益</w:t>
            </w:r>
          </w:p>
        </w:tc>
        <w:tc>
          <w:tcPr>
            <w:tcW w:w="4535" w:type="dxa"/>
          </w:tcPr>
          <w:p w14:paraId="10F069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短期趋势方向</w:t>
            </w:r>
          </w:p>
        </w:tc>
      </w:tr>
      <w:tr w14:paraId="32D96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B7D4F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w="2835" w:type="dxa"/>
          </w:tcPr>
          <w:p w14:paraId="2D5D4D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因子间平均相关系数</w:t>
            </w:r>
          </w:p>
        </w:tc>
        <w:tc>
          <w:tcPr>
            <w:tcW w:w="4535" w:type="dxa"/>
          </w:tcPr>
          <w:p w14:paraId="4276E4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因子分散度，高相关时等权效果差</w:t>
            </w:r>
          </w:p>
        </w:tc>
      </w:tr>
    </w:tbl>
    <w:p w14:paraId="2C21D792"/>
    <w:p w14:paraId="3FFB6E46">
      <w:pPr>
        <w:pStyle w:val="4"/>
        <w:jc w:val="left"/>
      </w:pPr>
      <w:r>
        <w:rPr>
          <w:rFonts w:ascii="微软雅黑" w:hAnsi="微软雅黑" w:eastAsia="微软雅黑"/>
        </w:rPr>
        <w:t>动作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01"/>
        <w:gridCol w:w="5669"/>
      </w:tblGrid>
      <w:tr w14:paraId="1C7F5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1F2"/>
          </w:tcPr>
          <w:p w14:paraId="301392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  <w:tc>
          <w:tcPr>
            <w:tcW w:w="1701" w:type="dxa"/>
            <w:shd w:val="clear" w:color="auto" w:fill="D9E1F2"/>
          </w:tcPr>
          <w:p w14:paraId="05159E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配方</w:t>
            </w:r>
          </w:p>
        </w:tc>
        <w:tc>
          <w:tcPr>
            <w:tcW w:w="5669" w:type="dxa"/>
            <w:shd w:val="clear" w:color="auto" w:fill="D9E1F2"/>
          </w:tcPr>
          <w:p w14:paraId="6EEEA9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权重</w:t>
            </w:r>
          </w:p>
        </w:tc>
      </w:tr>
      <w:tr w14:paraId="5EAA0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0421C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1701" w:type="dxa"/>
          </w:tcPr>
          <w:p w14:paraId="2739D0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等权</w:t>
            </w:r>
          </w:p>
        </w:tc>
        <w:tc>
          <w:tcPr>
            <w:tcW w:w="5669" w:type="dxa"/>
          </w:tcPr>
          <w:p w14:paraId="4E29FE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10个因子各1/10</w:t>
            </w:r>
          </w:p>
        </w:tc>
      </w:tr>
      <w:tr w14:paraId="263E8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5014B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1701" w:type="dxa"/>
          </w:tcPr>
          <w:p w14:paraId="37E565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动量型</w:t>
            </w:r>
          </w:p>
        </w:tc>
        <w:tc>
          <w:tcPr>
            <w:tcW w:w="5669" w:type="dxa"/>
          </w:tcPr>
          <w:p w14:paraId="54BA26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F0/F1/F2/F5 各1/4</w:t>
            </w:r>
          </w:p>
        </w:tc>
      </w:tr>
      <w:tr w14:paraId="46DEA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13CAE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1701" w:type="dxa"/>
          </w:tcPr>
          <w:p w14:paraId="61AFE2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反转型</w:t>
            </w:r>
          </w:p>
        </w:tc>
        <w:tc>
          <w:tcPr>
            <w:tcW w:w="5669" w:type="dxa"/>
          </w:tcPr>
          <w:p w14:paraId="0A6F69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F3/F4/F6 各1/3</w:t>
            </w:r>
          </w:p>
        </w:tc>
      </w:tr>
      <w:tr w14:paraId="3EABA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197AB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1701" w:type="dxa"/>
          </w:tcPr>
          <w:p w14:paraId="5327F6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波动型</w:t>
            </w:r>
          </w:p>
        </w:tc>
        <w:tc>
          <w:tcPr>
            <w:tcW w:w="5669" w:type="dxa"/>
          </w:tcPr>
          <w:p w14:paraId="24EC88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F7/F8/F9 各1/3</w:t>
            </w:r>
          </w:p>
        </w:tc>
      </w:tr>
      <w:tr w14:paraId="03071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D1408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1701" w:type="dxa"/>
          </w:tcPr>
          <w:p w14:paraId="28691B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IC自适应</w:t>
            </w:r>
          </w:p>
        </w:tc>
        <w:tc>
          <w:tcPr>
            <w:tcW w:w="5669" w:type="dxa"/>
          </w:tcPr>
          <w:p w14:paraId="116784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按滚动IC绝对值加权</w:t>
            </w:r>
          </w:p>
        </w:tc>
      </w:tr>
    </w:tbl>
    <w:p w14:paraId="7D5BD439"/>
    <w:p w14:paraId="36F2B6FF">
      <w:pPr>
        <w:pStyle w:val="4"/>
        <w:jc w:val="left"/>
      </w:pPr>
      <w:r>
        <w:rPr>
          <w:rFonts w:ascii="微软雅黑" w:hAnsi="微软雅黑" w:eastAsia="微软雅黑"/>
        </w:rPr>
        <w:t>奖励</w:t>
      </w:r>
    </w:p>
    <w:p w14:paraId="05CB2BFD">
      <w:pPr>
        <w:spacing w:after="60"/>
      </w:pPr>
      <w:r>
        <w:rPr>
          <w:rFonts w:ascii="微软雅黑" w:hAnsi="微软雅黑" w:eastAsia="微软雅黑"/>
          <w:b w:val="0"/>
          <w:sz w:val="22"/>
        </w:rPr>
        <w:t>选定配方后持仓20天（月频），奖励 = 这20天多空组合的平均RankIC。用RankIC而不是实际收益，是为了剥离市场Beta，只看因子截面预测能力。</w:t>
      </w:r>
    </w:p>
    <w:p w14:paraId="4C8CD052">
      <w:pPr>
        <w:pStyle w:val="3"/>
        <w:jc w:val="left"/>
      </w:pPr>
      <w:r>
        <w:rPr>
          <w:rFonts w:ascii="微软雅黑" w:hAnsi="微软雅黑" w:eastAsia="微软雅黑"/>
        </w:rPr>
        <w:t>四、FQI 关键伪代码</w:t>
      </w:r>
    </w:p>
    <w:p w14:paraId="74DEC0D9">
      <w:pPr>
        <w:shd w:val="clear" w:color="auto" w:fill="F2F2F2"/>
        <w:spacing w:before="60" w:after="60"/>
        <w:ind w:left="283"/>
      </w:pPr>
      <w:r>
        <w:rPr>
          <w:rFonts w:ascii="Courier New" w:hAnsi="Courier New" w:eastAsia="宋体"/>
          <w:sz w:val="18"/>
        </w:rPr>
        <w:t># 初始化：用随机策略收集经验 (状态, 选了哪个配方, 赚了多少, 下期状态)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D = collect_with_random_policy(env)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Q = {每个配方: 全零初始化}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for k in range(20):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# Bellman 目标：当期收益 + 折扣 × 下期最优Q值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y = reward + 0.95 * max_a(Q[a](next_state))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# 按配方分组，各自训练一个 XGBoost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for 配方 in [0,1,2,3,4]: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    Q[配方] = XGBRegressor().fit(states, y)  # 普通回归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# 用更新后的策略再收集数据，扩充经验池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D += collect_with_epsilon_greedy(env, Q)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决策：给定状态，取Q值最大的配方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action = argmax([Q[a].predict(state) for a in range(5)])</w:t>
      </w:r>
    </w:p>
    <w:p w14:paraId="469E7D1B">
      <w:pPr>
        <w:spacing w:after="60"/>
      </w:pPr>
      <w:r>
        <w:rPr>
          <w:rFonts w:ascii="微软雅黑" w:hAnsi="微软雅黑" w:eastAsia="微软雅黑"/>
          <w:b w:val="0"/>
          <w:sz w:val="22"/>
        </w:rPr>
        <w:t>每一步都是普通 XGBoost.fit()，不同的只是训练标签 y 在被上一轮预测不断修正，直到 Q 值稳定。</w:t>
      </w:r>
    </w:p>
    <w:p w14:paraId="310F261D">
      <w:pPr>
        <w:pStyle w:val="3"/>
        <w:jc w:val="left"/>
      </w:pPr>
      <w:r>
        <w:rPr>
          <w:rFonts w:ascii="微软雅黑" w:hAnsi="微软雅黑" w:eastAsia="微软雅黑"/>
        </w:rPr>
        <w:t>五、结果</w:t>
      </w:r>
    </w:p>
    <w:p w14:paraId="26B258A2">
      <w:pPr>
        <w:pStyle w:val="4"/>
        <w:jc w:val="left"/>
      </w:pPr>
      <w:r>
        <w:rPr>
          <w:rFonts w:ascii="微软雅黑" w:hAnsi="微软雅黑" w:eastAsia="微软雅黑"/>
        </w:rPr>
        <w:t>单层 FQI vs 各基准（测试集22期）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1417"/>
        <w:gridCol w:w="1417"/>
        <w:gridCol w:w="1417"/>
      </w:tblGrid>
      <w:tr w14:paraId="09594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1F2"/>
          </w:tcPr>
          <w:p w14:paraId="0B7962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策略</w:t>
            </w:r>
          </w:p>
        </w:tc>
        <w:tc>
          <w:tcPr>
            <w:tcW w:w="1701" w:type="dxa"/>
            <w:shd w:val="clear" w:color="auto" w:fill="D9E1F2"/>
          </w:tcPr>
          <w:p w14:paraId="0FFAFF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平均RankIC</w:t>
            </w:r>
          </w:p>
        </w:tc>
        <w:tc>
          <w:tcPr>
            <w:tcW w:w="1417" w:type="dxa"/>
            <w:shd w:val="clear" w:color="auto" w:fill="D9E1F2"/>
          </w:tcPr>
          <w:p w14:paraId="239388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ICIR</w:t>
            </w:r>
          </w:p>
        </w:tc>
        <w:tc>
          <w:tcPr>
            <w:tcW w:w="1417" w:type="dxa"/>
            <w:shd w:val="clear" w:color="auto" w:fill="D9E1F2"/>
          </w:tcPr>
          <w:p w14:paraId="65CBC1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IC&gt;0%</w:t>
            </w:r>
          </w:p>
        </w:tc>
        <w:tc>
          <w:tcPr>
            <w:tcW w:w="1417" w:type="dxa"/>
            <w:shd w:val="clear" w:color="auto" w:fill="D9E1F2"/>
          </w:tcPr>
          <w:p w14:paraId="34CB65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累积IC</w:t>
            </w:r>
          </w:p>
        </w:tc>
      </w:tr>
      <w:tr w14:paraId="6EB2C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CF47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等权基准</w:t>
            </w:r>
          </w:p>
        </w:tc>
        <w:tc>
          <w:tcPr>
            <w:tcW w:w="1701" w:type="dxa"/>
          </w:tcPr>
          <w:p w14:paraId="7828EE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0.616</w:t>
            </w:r>
          </w:p>
        </w:tc>
        <w:tc>
          <w:tcPr>
            <w:tcW w:w="1417" w:type="dxa"/>
          </w:tcPr>
          <w:p w14:paraId="760BE5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17.49</w:t>
            </w:r>
          </w:p>
        </w:tc>
        <w:tc>
          <w:tcPr>
            <w:tcW w:w="1417" w:type="dxa"/>
          </w:tcPr>
          <w:p w14:paraId="57DC57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w="1417" w:type="dxa"/>
          </w:tcPr>
          <w:p w14:paraId="7D1771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13.55</w:t>
            </w:r>
          </w:p>
        </w:tc>
      </w:tr>
      <w:tr w14:paraId="7892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E8A6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IC自适应</w:t>
            </w:r>
          </w:p>
        </w:tc>
        <w:tc>
          <w:tcPr>
            <w:tcW w:w="1701" w:type="dxa"/>
          </w:tcPr>
          <w:p w14:paraId="714EFF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0.615</w:t>
            </w:r>
          </w:p>
        </w:tc>
        <w:tc>
          <w:tcPr>
            <w:tcW w:w="1417" w:type="dxa"/>
          </w:tcPr>
          <w:p w14:paraId="289E6B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17.56</w:t>
            </w:r>
          </w:p>
        </w:tc>
        <w:tc>
          <w:tcPr>
            <w:tcW w:w="1417" w:type="dxa"/>
          </w:tcPr>
          <w:p w14:paraId="3DADA6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w="1417" w:type="dxa"/>
          </w:tcPr>
          <w:p w14:paraId="410CB7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13.53</w:t>
            </w:r>
          </w:p>
        </w:tc>
      </w:tr>
      <w:tr w14:paraId="67E5E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72895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FQI智能体</w:t>
            </w:r>
          </w:p>
        </w:tc>
        <w:tc>
          <w:tcPr>
            <w:tcW w:w="1701" w:type="dxa"/>
          </w:tcPr>
          <w:p w14:paraId="3965EB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0.587</w:t>
            </w:r>
          </w:p>
        </w:tc>
        <w:tc>
          <w:tcPr>
            <w:tcW w:w="1417" w:type="dxa"/>
          </w:tcPr>
          <w:p w14:paraId="43A6A4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9.30</w:t>
            </w:r>
          </w:p>
        </w:tc>
        <w:tc>
          <w:tcPr>
            <w:tcW w:w="1417" w:type="dxa"/>
          </w:tcPr>
          <w:p w14:paraId="2DDBB1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w="1417" w:type="dxa"/>
          </w:tcPr>
          <w:p w14:paraId="3BD564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12.90</w:t>
            </w:r>
          </w:p>
        </w:tc>
      </w:tr>
      <w:tr w14:paraId="6CC41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790C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动量型（固定）</w:t>
            </w:r>
          </w:p>
        </w:tc>
        <w:tc>
          <w:tcPr>
            <w:tcW w:w="1701" w:type="dxa"/>
          </w:tcPr>
          <w:p w14:paraId="271005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0.562</w:t>
            </w:r>
          </w:p>
        </w:tc>
        <w:tc>
          <w:tcPr>
            <w:tcW w:w="1417" w:type="dxa"/>
          </w:tcPr>
          <w:p w14:paraId="0CC4DE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6.72</w:t>
            </w:r>
          </w:p>
        </w:tc>
        <w:tc>
          <w:tcPr>
            <w:tcW w:w="1417" w:type="dxa"/>
          </w:tcPr>
          <w:p w14:paraId="480F33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w="1417" w:type="dxa"/>
          </w:tcPr>
          <w:p w14:paraId="5ED2ED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12.36</w:t>
            </w:r>
          </w:p>
        </w:tc>
      </w:tr>
      <w:tr w14:paraId="2B2B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5CD03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随机策略</w:t>
            </w:r>
          </w:p>
        </w:tc>
        <w:tc>
          <w:tcPr>
            <w:tcW w:w="1701" w:type="dxa"/>
          </w:tcPr>
          <w:p w14:paraId="4C4B4F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0.597</w:t>
            </w:r>
          </w:p>
        </w:tc>
        <w:tc>
          <w:tcPr>
            <w:tcW w:w="1417" w:type="dxa"/>
          </w:tcPr>
          <w:p w14:paraId="01B177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12.00</w:t>
            </w:r>
          </w:p>
        </w:tc>
        <w:tc>
          <w:tcPr>
            <w:tcW w:w="1417" w:type="dxa"/>
          </w:tcPr>
          <w:p w14:paraId="7F21F0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w="1417" w:type="dxa"/>
          </w:tcPr>
          <w:p w14:paraId="7124B2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13.14</w:t>
            </w:r>
          </w:p>
        </w:tc>
      </w:tr>
    </w:tbl>
    <w:p w14:paraId="50CBA179"/>
    <w:p w14:paraId="22393120">
      <w:pPr>
        <w:jc w:val="center"/>
      </w:pPr>
      <w:r>
        <w:drawing>
          <wp:inline distT="0" distB="0" distL="114300" distR="114300">
            <wp:extent cx="5399405" cy="4613275"/>
            <wp:effectExtent l="0" t="0" r="1079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1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1B42">
      <w:pPr>
        <w:jc w:val="center"/>
      </w:pPr>
      <w:r>
        <w:rPr>
          <w:rFonts w:ascii="微软雅黑" w:hAnsi="微软雅黑" w:eastAsia="微软雅黑"/>
          <w:b w:val="0"/>
          <w:color w:val="646464"/>
          <w:sz w:val="18"/>
        </w:rPr>
        <w:t>图1  各策略累积RankIC曲线 / 每期IC分布 / FQI动作分布</w:t>
      </w:r>
    </w:p>
    <w:p w14:paraId="194479BB">
      <w:pPr>
        <w:pStyle w:val="4"/>
        <w:jc w:val="left"/>
      </w:pPr>
      <w:r>
        <w:rPr>
          <w:rFonts w:ascii="微软雅黑" w:hAnsi="微软雅黑" w:eastAsia="微软雅黑"/>
        </w:rPr>
        <w:t>两层系统（FQI选配方 + XGBoost微调权重）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984"/>
        <w:gridCol w:w="1701"/>
        <w:gridCol w:w="1984"/>
      </w:tblGrid>
      <w:tr w14:paraId="13EAE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9E1F2"/>
          </w:tcPr>
          <w:p w14:paraId="640723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策略</w:t>
            </w:r>
          </w:p>
        </w:tc>
        <w:tc>
          <w:tcPr>
            <w:tcW w:w="1984" w:type="dxa"/>
            <w:shd w:val="clear" w:color="auto" w:fill="D9E1F2"/>
          </w:tcPr>
          <w:p w14:paraId="0F73C9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平均RankIC</w:t>
            </w:r>
          </w:p>
        </w:tc>
        <w:tc>
          <w:tcPr>
            <w:tcW w:w="1701" w:type="dxa"/>
            <w:shd w:val="clear" w:color="auto" w:fill="D9E1F2"/>
          </w:tcPr>
          <w:p w14:paraId="74569D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ICIR</w:t>
            </w:r>
          </w:p>
        </w:tc>
        <w:tc>
          <w:tcPr>
            <w:tcW w:w="1984" w:type="dxa"/>
            <w:shd w:val="clear" w:color="auto" w:fill="D9E1F2"/>
          </w:tcPr>
          <w:p w14:paraId="1F4CA4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累积IC</w:t>
            </w:r>
          </w:p>
        </w:tc>
      </w:tr>
      <w:tr w14:paraId="0453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88410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等权基准</w:t>
            </w:r>
          </w:p>
        </w:tc>
        <w:tc>
          <w:tcPr>
            <w:tcW w:w="1984" w:type="dxa"/>
          </w:tcPr>
          <w:p w14:paraId="267A32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0.616</w:t>
            </w:r>
          </w:p>
        </w:tc>
        <w:tc>
          <w:tcPr>
            <w:tcW w:w="1701" w:type="dxa"/>
          </w:tcPr>
          <w:p w14:paraId="0C5044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17.49</w:t>
            </w:r>
          </w:p>
        </w:tc>
        <w:tc>
          <w:tcPr>
            <w:tcW w:w="1984" w:type="dxa"/>
          </w:tcPr>
          <w:p w14:paraId="28AB17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13.55</w:t>
            </w:r>
          </w:p>
        </w:tc>
      </w:tr>
      <w:tr w14:paraId="51E1B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F4DF4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FQI单层</w:t>
            </w:r>
          </w:p>
        </w:tc>
        <w:tc>
          <w:tcPr>
            <w:tcW w:w="1984" w:type="dxa"/>
          </w:tcPr>
          <w:p w14:paraId="6FAD84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0.587</w:t>
            </w:r>
          </w:p>
        </w:tc>
        <w:tc>
          <w:tcPr>
            <w:tcW w:w="1701" w:type="dxa"/>
          </w:tcPr>
          <w:p w14:paraId="62238C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9.30</w:t>
            </w:r>
          </w:p>
        </w:tc>
        <w:tc>
          <w:tcPr>
            <w:tcW w:w="1984" w:type="dxa"/>
          </w:tcPr>
          <w:p w14:paraId="26B49D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12.90</w:t>
            </w:r>
          </w:p>
        </w:tc>
      </w:tr>
      <w:tr w14:paraId="0E1DA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25DD5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两层系统</w:t>
            </w:r>
          </w:p>
        </w:tc>
        <w:tc>
          <w:tcPr>
            <w:tcW w:w="1984" w:type="dxa"/>
          </w:tcPr>
          <w:p w14:paraId="1854CD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0.589</w:t>
            </w:r>
          </w:p>
        </w:tc>
        <w:tc>
          <w:tcPr>
            <w:tcW w:w="1701" w:type="dxa"/>
          </w:tcPr>
          <w:p w14:paraId="08FE40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9.36</w:t>
            </w:r>
          </w:p>
        </w:tc>
        <w:tc>
          <w:tcPr>
            <w:tcW w:w="1984" w:type="dxa"/>
          </w:tcPr>
          <w:p w14:paraId="27E013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12.97</w:t>
            </w:r>
          </w:p>
        </w:tc>
      </w:tr>
    </w:tbl>
    <w:p w14:paraId="7E8F4C95"/>
    <w:p w14:paraId="100890F6">
      <w:pPr>
        <w:jc w:val="center"/>
      </w:pPr>
      <w:r>
        <w:drawing>
          <wp:inline distT="0" distB="0" distL="114300" distR="114300">
            <wp:extent cx="5399405" cy="1892935"/>
            <wp:effectExtent l="0" t="0" r="1079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A022">
      <w:pPr>
        <w:jc w:val="center"/>
      </w:pPr>
      <w:r>
        <w:rPr>
          <w:rFonts w:ascii="微软雅黑" w:hAnsi="微软雅黑" w:eastAsia="微软雅黑"/>
          <w:b w:val="0"/>
          <w:color w:val="646464"/>
          <w:sz w:val="18"/>
        </w:rPr>
        <w:t>图2  两层系统 vs 单层FQI vs 等权基准</w:t>
      </w:r>
    </w:p>
    <w:p w14:paraId="79C7208A">
      <w:pPr>
        <w:jc w:val="center"/>
      </w:pPr>
      <w:r>
        <w:drawing>
          <wp:inline distT="0" distB="0" distL="114300" distR="114300">
            <wp:extent cx="4319905" cy="321310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780D">
      <w:pPr>
        <w:jc w:val="center"/>
      </w:pPr>
      <w:r>
        <w:rPr>
          <w:rFonts w:ascii="微软雅黑" w:hAnsi="微软雅黑" w:eastAsia="微软雅黑"/>
          <w:b w:val="0"/>
          <w:color w:val="646464"/>
          <w:sz w:val="18"/>
        </w:rPr>
        <w:t>图3  Q函数特征重要性（各动作XGBoost均值）</w:t>
      </w:r>
    </w:p>
    <w:p w14:paraId="0B4F12FE">
      <w:pPr>
        <w:pStyle w:val="3"/>
        <w:jc w:val="left"/>
      </w:pPr>
      <w:r>
        <w:rPr>
          <w:rFonts w:ascii="微软雅黑" w:hAnsi="微软雅黑" w:eastAsia="微软雅黑"/>
        </w:rPr>
        <w:t>六、结果分析与局限性</w:t>
      </w:r>
    </w:p>
    <w:p w14:paraId="7FB84137">
      <w:pPr>
        <w:pStyle w:val="4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等权基准</w:t>
      </w:r>
    </w:p>
    <w:p w14:paraId="43667946">
      <w:pPr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这里另外的考虑是按照ic去分配第一次权重</w:t>
      </w:r>
    </w:p>
    <w:p w14:paraId="05302855">
      <w:pPr>
        <w:pStyle w:val="4"/>
        <w:jc w:val="left"/>
      </w:pPr>
      <w:r>
        <w:rPr>
          <w:rFonts w:ascii="微软雅黑" w:hAnsi="微软雅黑" w:eastAsia="微软雅黑"/>
        </w:rPr>
        <w:t>两层结构提升有限</w:t>
      </w:r>
    </w:p>
    <w:p w14:paraId="16E87CF7">
      <w:pPr>
        <w:spacing w:after="60"/>
      </w:pPr>
      <w:r>
        <w:rPr>
          <w:rFonts w:ascii="微软雅黑" w:hAnsi="微软雅黑" w:eastAsia="微软雅黑"/>
          <w:b w:val="0"/>
          <w:sz w:val="22"/>
        </w:rPr>
        <w:t xml:space="preserve"> WeightRefiner 也用同一批训练数据预测IC，样本瓶颈没有解决，所以提升很小（ICIR 9.30 → 9.36）。实际数据中因子数量多（几百个），先粗筛再精调的分层设计更有意义。</w:t>
      </w:r>
    </w:p>
    <w:p w14:paraId="26ED11F9">
      <w:pPr>
        <w:pStyle w:val="4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原因</w:t>
      </w:r>
    </w:p>
    <w:p w14:paraId="73EDD1BD">
      <w:pPr>
        <w:spacing w:after="6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样本不足，没有做行业中性处理</w:t>
      </w:r>
    </w:p>
    <w:p w14:paraId="3C6E1E0F">
      <w:pPr>
        <w:spacing w:after="60"/>
      </w:pP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71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1068</Words>
  <Characters>1655</Characters>
  <Lines>0</Lines>
  <Paragraphs>0</Paragraphs>
  <TotalTime>5</TotalTime>
  <ScaleCrop>false</ScaleCrop>
  <LinksUpToDate>false</LinksUpToDate>
  <CharactersWithSpaces>1816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FDR</cp:lastModifiedBy>
  <dcterms:modified xsi:type="dcterms:W3CDTF">2026-06-09T07:30:53Z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eyJoZGlkIjoiYWFjNTAyMTFhMjM4ZWJlMDAwYmU3ODc1NTYzM2MyMzQiLCJ1c2VySWQiOiI0MDE1OTk0MzQifQ==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0DE901E662EA46A2B452C58D9B4AE51D_12</vt:lpwstr>
  </property>
</Properties>
</file>