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F464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任务1：数据处理与合并</w:t>
      </w:r>
    </w:p>
    <w:p w14:paraId="47200304">
      <w:pPr>
        <w:rPr>
          <w:rFonts w:hint="default"/>
          <w:lang w:val="en-US" w:eastAsia="zh-CN"/>
        </w:rPr>
      </w:pPr>
    </w:p>
    <w:p w14:paraId="33C72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本任务的数据处理目标是将分散的 3 秒快照数据统一清洗并按标的合并，形成可用于后续分析的标准化时间序列。处理过程中，先对多个月度文件逐一读取并拼接，统一时间戳格式，剔除缺失时间、重复记录和明显异常值。对于价格类字段中的 0 值，结合行情业务含义将其视为无效报价或缺失值进行处理，避免影响后续计算。同时，根据不同品种的交易规则筛选有效交易时段：ETF 保留阶段码为 T111 的连续竞价数据，债券保留阶段码为 T 的数据，两者均截取至 15:00 以保证时间轴对齐。价格优先取买卖一档均值，单边缺失时回退到最新成交价。期货数据额外进行后复权处理，在每个换月节点将历史价格加上价差跳变量，消除合约切换导致的序列断裂，保证价差序列平稳，避免 OU 参数估计失真。最后，将同一标的不同月份的数据按时间排序、去重并合并输出，文件命名遵循统一格式，便于后续策略研究和结果复现。</w:t>
      </w:r>
    </w:p>
    <w:p w14:paraId="3BC8B197">
      <w:pPr>
        <w:rPr>
          <w:rFonts w:hint="default"/>
          <w:lang w:val="en-US" w:eastAsia="zh-CN"/>
        </w:rPr>
      </w:pPr>
    </w:p>
    <w:p w14:paraId="00734588">
      <w:pPr>
        <w:pStyle w:val="5"/>
        <w:bidi w:val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任务2a：511130 ETF 申赎套利</w:t>
      </w:r>
    </w:p>
    <w:p w14:paraId="77A563BE">
      <w:pPr>
        <w:rPr>
          <w:rFonts w:hint="default"/>
          <w:lang w:val="en-US" w:eastAsia="zh-CN"/>
        </w:rPr>
      </w:pPr>
    </w:p>
    <w:p w14:paraId="5909E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本任务针对 511130 国债 ETF，利用 ETF 二级市场价格与基金份额参考净值（IOPV）之间的价差进行套利。IOPV 由成分债券的实时净价加上应计利息得到全价，再按当日 PCF 持仓数量加权汇总，叠加现金差额后除以篮子份额（10000份）计算得出。应计利息采用 A/365F 计息方式，按距上次付息天数比例计算，不纳入应计利息会导致 IOPV 系统性低估。PCF 持仓清单由基金公司于前一交易日收盘后公告，次日生效，现金差额同样以前一日数据为准。套利触发条件为 ETF 市价与 IOPV 的偏差超过交易成本，成本包含 ETF 单边万0.5手续费和债券单边万0.05手续费。回测期为 2026 年 1–2 月，策略累计收益 122,734 元，夏普比率 13.94，最大回撤为 0%。</w:t>
      </w:r>
    </w:p>
    <w:p w14:paraId="4AC933B8">
      <w:pPr>
        <w:rPr>
          <w:rFonts w:hint="default"/>
          <w:lang w:val="en-US" w:eastAsia="zh-CN"/>
        </w:rPr>
      </w:pPr>
    </w:p>
    <w:p w14:paraId="47DE6536">
      <w:pPr>
        <w:pStyle w:val="5"/>
        <w:bidi w:val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任务2b：511090 ETF vs TL 期货 OU 配对交易</w:t>
      </w:r>
    </w:p>
    <w:p w14:paraId="599616A2">
      <w:pPr>
        <w:rPr>
          <w:rFonts w:hint="default"/>
          <w:lang w:val="en-US" w:eastAsia="zh-CN"/>
        </w:rPr>
      </w:pPr>
    </w:p>
    <w:p w14:paraId="74266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本任务针对 511090 ETF 与 TL 30年国债期货主力合约，利用二者的高度相关性（R²=0.99）构建统计套利策略。511090 底仓为30年国债资产，与 TL 期货跟踪标的高度重合，短期价格偏离具有均值回归特性。</w:t>
      </w:r>
    </w:p>
    <w:p w14:paraId="5D5531AA">
      <w:pPr>
        <w:rPr>
          <w:rFonts w:hint="default"/>
          <w:lang w:val="en-US" w:eastAsia="zh-CN"/>
        </w:rPr>
      </w:pPr>
    </w:p>
    <w:p w14:paraId="2AB9F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首先在训练集（前50%数据）上对两者做 OLS 回归，得到对冲比率 β=1.083，即期货每变动1元，ETF 平均变动1.083元。构造价差序列 spread = ETF − 1.083 × 期货，该残差序列在正常市场下围绕均值小幅波动。对 spread 拟合 OU 过程（AR(1) 回归估计），得到均值回归速度 θ 和均衡波动率 σ，实测半衰期约91分钟。</w:t>
      </w:r>
    </w:p>
    <w:p w14:paraId="0D2F09D5">
      <w:pPr>
        <w:rPr>
          <w:rFonts w:hint="default"/>
          <w:lang w:val="en-US" w:eastAsia="zh-CN"/>
        </w:rPr>
      </w:pPr>
    </w:p>
    <w:p w14:paraId="30260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交易信号以 z-score 衡量当前偏离程度（z = (spread − μ) / σ）。z &gt; 1.5 时价差偏高，做空ETF同时做多期货；z &lt; −1.5 时价差偏低，做多ETF同时做空期货；|z| &lt; 0.5 时平仓。OU 参数每180分钟滚动重估一次，适应</w:t>
      </w:r>
      <w:bookmarkStart w:id="0" w:name="_GoBack"/>
      <w:bookmarkEnd w:id="0"/>
      <w:r>
        <w:rPr>
          <w:rFonts w:hint="default"/>
          <w:lang w:val="en-US" w:eastAsia="zh-CN"/>
        </w:rPr>
        <w:t>市场结构的渐进变化。回测期为 2025 年 7–12 月，策略累计收益 277,020 元，夏普比率 2.32，最大回撤 −0.17%。</w:t>
      </w:r>
    </w:p>
    <w:p w14:paraId="7FE06DD9">
      <w:pPr>
        <w:rPr>
          <w:rFonts w:hint="default"/>
          <w:lang w:val="en-US" w:eastAsia="zh-CN"/>
        </w:rPr>
      </w:pPr>
    </w:p>
    <w:p w14:paraId="5B4C3347">
      <w:pPr>
        <w:pStyle w:val="5"/>
        <w:bidi w:val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任务3：策略优化与风险控制</w:t>
      </w:r>
    </w:p>
    <w:p w14:paraId="04C7D54F">
      <w:pPr>
        <w:rPr>
          <w:rFonts w:hint="default"/>
          <w:lang w:val="en-US" w:eastAsia="zh-CN"/>
        </w:rPr>
      </w:pPr>
    </w:p>
    <w:p w14:paraId="2BD73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本任务在任务2b基础上进行三项扩展。</w:t>
      </w:r>
    </w:p>
    <w:p w14:paraId="72F87463">
      <w:pPr>
        <w:rPr>
          <w:rFonts w:hint="default"/>
          <w:lang w:val="en-US" w:eastAsia="zh-CN"/>
        </w:rPr>
      </w:pPr>
    </w:p>
    <w:p w14:paraId="6186D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第一，引入 Numba JIT 编译对核心计算路径加速，将 OU 参数估计和向量化回测函数编译为机器码，单次回测耗时从秒级降至毫秒级，为大规模参数搜索提供算力基础。</w:t>
      </w:r>
    </w:p>
    <w:p w14:paraId="4C86342E">
      <w:pPr>
        <w:rPr>
          <w:rFonts w:hint="default"/>
          <w:lang w:val="en-US" w:eastAsia="zh-CN"/>
        </w:rPr>
      </w:pPr>
    </w:p>
    <w:p w14:paraId="7AA30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第二，使用 Optuna 框架对策略参数进行自动优化，搜索空间覆盖入场阈值、出场阈值、OU估计窗口和参数更新频率，采用 TPE 采样器在80次试验内找到最优组合（entry_z=2.25，exit_z=1.0），测试集夏普比率0.82。同时通过参数敏感性热力图验证最优参数的稳健性，确认其周边区域绩效同样稳定，排除过拟合。</w:t>
      </w:r>
    </w:p>
    <w:p w14:paraId="010D5714">
      <w:pPr>
        <w:rPr>
          <w:rFonts w:hint="default"/>
          <w:lang w:val="en-US" w:eastAsia="zh-CN"/>
        </w:rPr>
      </w:pPr>
    </w:p>
    <w:p w14:paraId="2E583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，在策略中加入两层风险控制：单笔亏损超过资金0.2%时立即止损平仓，当日累计亏损超过0.5%时暂停当日开仓。风控引入后夏普比率提升至4.43，最大回撤压缩至0.078%，以部分绝对收益为代价换取更稳定的风险调整表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F7184A"/>
    <w:rsid w:val="3FFBD37B"/>
    <w:rsid w:val="DDF7184A"/>
    <w:rsid w:val="DFFA9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Times New Roman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customStyle="1" w:styleId="11">
    <w:name w:val="abstract等"/>
    <w:basedOn w:val="1"/>
    <w:next w:val="1"/>
    <w:uiPriority w:val="0"/>
    <w:pPr>
      <w:keepNext/>
      <w:keepLines/>
      <w:spacing w:before="340" w:after="330"/>
      <w:ind w:firstLine="0" w:firstLineChars="0"/>
      <w:jc w:val="center"/>
      <w:outlineLvl w:val="0"/>
    </w:pPr>
    <w:rPr>
      <w:rFonts w:eastAsia="Times New Roman"/>
      <w:b/>
      <w:bCs/>
      <w:kern w:val="44"/>
      <w:sz w:val="28"/>
      <w:szCs w:val="28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132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2026-05-14T13:11:00Z</dcterms:created>
  <dc:creator>FDR</dc:creator>
  <cp:lastModifiedBy>FDR</cp:lastModifiedBy>
  <dcterms:modified xsi:type="dcterms:W3CDTF">2026-05-14T14:46:50Z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B0A71FFE59F54EC96459056AB6CBFC19_41</vt:lpwstr>
  </property>
</Properties>
</file>