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C47EC" w14:textId="1AC28E52" w:rsidR="0077343F" w:rsidRDefault="00CE5D48" w:rsidP="00A87DCB">
      <w:pPr>
        <w:pStyle w:val="1"/>
      </w:pPr>
      <w:r>
        <w:t>ВВЕДЕНИЕ</w:t>
      </w:r>
    </w:p>
    <w:p w14:paraId="1BCB2F69" w14:textId="4240C7B7" w:rsidR="00E20907" w:rsidRDefault="00772C3A" w:rsidP="00F368A4">
      <w:r>
        <w:t>Токамаки станов</w:t>
      </w:r>
      <w:r w:rsidR="006B3243">
        <w:t>ятся все сложнее по мере своего развития</w:t>
      </w:r>
      <w:r w:rsidR="00C14D1D">
        <w:t xml:space="preserve">. </w:t>
      </w:r>
      <w:r w:rsidR="00B84250">
        <w:t xml:space="preserve">А значит возрастает и интерес к описанию </w:t>
      </w:r>
      <w:r w:rsidR="00C67C25">
        <w:t xml:space="preserve">поведения </w:t>
      </w:r>
      <w:r w:rsidR="00B84250">
        <w:t>плазмы</w:t>
      </w:r>
      <w:r w:rsidR="00A80732">
        <w:t xml:space="preserve"> в</w:t>
      </w:r>
      <w:r w:rsidR="00E20214">
        <w:t>о все более сложных условиях</w:t>
      </w:r>
      <w:r w:rsidR="00A80732">
        <w:t xml:space="preserve"> </w:t>
      </w:r>
      <w:r w:rsidR="00E20214">
        <w:t>новых установок</w:t>
      </w:r>
      <w:r w:rsidR="00A30CCE">
        <w:t xml:space="preserve">. </w:t>
      </w:r>
      <w:r w:rsidR="00A760A6">
        <w:t xml:space="preserve">Вот некоторые </w:t>
      </w:r>
      <w:r w:rsidR="000D31AC">
        <w:t xml:space="preserve">из </w:t>
      </w:r>
      <w:r w:rsidR="001E3BB1">
        <w:t xml:space="preserve">интересующих </w:t>
      </w:r>
      <w:r w:rsidR="008B7F32">
        <w:t>характеристик</w:t>
      </w:r>
      <w:r w:rsidR="006E561D">
        <w:t xml:space="preserve"> </w:t>
      </w:r>
      <w:r w:rsidR="001E3BB1">
        <w:t>плазмы</w:t>
      </w:r>
      <w:r w:rsidR="00A760A6">
        <w:t xml:space="preserve">: </w:t>
      </w:r>
      <w:r w:rsidR="00E20907" w:rsidRPr="00E20907">
        <w:t>форм</w:t>
      </w:r>
      <w:r w:rsidR="00E934F6">
        <w:t>а</w:t>
      </w:r>
      <w:r w:rsidR="00E20907" w:rsidRPr="00E20907">
        <w:t xml:space="preserve"> </w:t>
      </w:r>
      <w:r w:rsidR="000D69EB">
        <w:t xml:space="preserve">поверхности </w:t>
      </w:r>
      <w:r w:rsidR="00E20907" w:rsidRPr="00E20907">
        <w:t>плазм</w:t>
      </w:r>
      <w:r w:rsidR="000D69EB">
        <w:t>ы</w:t>
      </w:r>
      <w:r w:rsidR="00E20907" w:rsidRPr="00E20907">
        <w:t xml:space="preserve">, </w:t>
      </w:r>
      <w:r w:rsidR="00427644">
        <w:t xml:space="preserve">различные </w:t>
      </w:r>
      <w:r w:rsidR="00E20907" w:rsidRPr="00E20907">
        <w:t>радиальны</w:t>
      </w:r>
      <w:r w:rsidR="00671ACB">
        <w:t>е</w:t>
      </w:r>
      <w:r w:rsidR="00E20907" w:rsidRPr="00E20907">
        <w:t xml:space="preserve"> профил</w:t>
      </w:r>
      <w:r w:rsidR="00925F4B">
        <w:t>и</w:t>
      </w:r>
      <w:r w:rsidR="00E20907" w:rsidRPr="00E20907">
        <w:t>, распределени</w:t>
      </w:r>
      <w:r w:rsidR="00E50FBC">
        <w:t>е</w:t>
      </w:r>
      <w:r w:rsidR="00E20907" w:rsidRPr="00E20907">
        <w:t xml:space="preserve"> мощности </w:t>
      </w:r>
      <w:r w:rsidR="0079016E">
        <w:t xml:space="preserve">нагрева </w:t>
      </w:r>
      <w:r w:rsidR="009A3D53">
        <w:t>частицами плазмы</w:t>
      </w:r>
      <w:r w:rsidR="00253D3A">
        <w:t xml:space="preserve"> </w:t>
      </w:r>
      <w:r w:rsidR="00E20907" w:rsidRPr="00E20907">
        <w:t>вдоль поверхностей дивертора</w:t>
      </w:r>
      <w:r w:rsidR="000A7B1E">
        <w:t>.</w:t>
      </w:r>
      <w:r w:rsidR="00E20907" w:rsidRPr="00E20907">
        <w:t xml:space="preserve"> </w:t>
      </w:r>
      <w:r w:rsidR="00750830">
        <w:t>С</w:t>
      </w:r>
      <w:r w:rsidR="00641943">
        <w:t xml:space="preserve">пектр </w:t>
      </w:r>
      <w:r w:rsidR="00060B08">
        <w:t xml:space="preserve">интересующих </w:t>
      </w:r>
      <w:r w:rsidR="00641943">
        <w:t xml:space="preserve">характеристик </w:t>
      </w:r>
      <w:r w:rsidR="00750830">
        <w:t xml:space="preserve">довольно жирок и </w:t>
      </w:r>
      <w:r w:rsidR="00E20907" w:rsidRPr="00E20907">
        <w:t>указывает на важность реалистичн</w:t>
      </w:r>
      <w:r w:rsidR="0006448C">
        <w:t>ых численных</w:t>
      </w:r>
      <w:r w:rsidR="00060B08">
        <w:t xml:space="preserve"> </w:t>
      </w:r>
      <w:r w:rsidR="0019317A">
        <w:t xml:space="preserve">моделей </w:t>
      </w:r>
      <w:r w:rsidR="00E20907" w:rsidRPr="00E20907">
        <w:t>равновесия</w:t>
      </w:r>
      <w:r w:rsidR="00FB69A3">
        <w:t xml:space="preserve"> плазм</w:t>
      </w:r>
      <w:r w:rsidR="006F0681">
        <w:t>ы</w:t>
      </w:r>
      <w:r w:rsidR="00FA1BCC">
        <w:t xml:space="preserve"> </w:t>
      </w:r>
      <w:r w:rsidR="00FA1BCC">
        <w:fldChar w:fldCharType="begin" w:fldLock="1"/>
      </w:r>
      <w:r w:rsidR="00915DC2">
        <w:instrText>ADDIN CSL_CITATION {"citationItems":[{"id":"ITEM-1","itemData":{"DOI":"10.1063/1.870464","ISSN":"1070664X","abstract":"It is shown that the Grad-Shafranov equation for toroidally symmetric ideal-magnetohydrodynamic (MHD) equilibria is a conventional albeit nonlinear eigenvalue problem. That this has been generally overlooked with limited consequences has been made possible by the existence of a scale-invariant transformation of the equation. If the safety factor q is chosen in place of the toroidal field as one of the free flux functions specifying the source (numerical Grad-Shafranov solvers with this capability are called \"q solvers\"), the eigenvalue is 1 and the scale-transformation factor drops out of the problem. It is shown how this is responsible for the numerical problems that have plagued a class of q solvers, and a simple remedy is suggested. This has been implemented in Livermore's toroidal equilibrium code (TEQ), and as an example, a quasistatically evolved vertical event is presented. © 1994 American Institute of Physics.","author":[{"dropping-particle":"","family":"LoDestro","given":"L. L.","non-dropping-particle":"","parse-names":false,"suffix":""},{"dropping-particle":"","family":"Pearlstein","given":"L. D.","non-dropping-particle":"","parse-names":false,"suffix":""}],"container-title":"Physics of Plasmas","id":"ITEM-1","issue":"1","issued":{"date-parts":[["1994"]]},"page":"90-95","title":"On the Grad-Shafranov equation as an eigenvalue problem, with implications for q solvers","type":"article-journal","volume":"1"},"uris":["http://www.mendeley.com/documents/?uuid=6aef0fb2-8b8f-4939-af69-7d424f127be8"]}],"mendeley":{"formattedCitation":"[1]","plainTextFormattedCitation":"[1]","previouslyFormattedCitation":"[1]"},"properties":{"noteIndex":0},"schema":"https://github.com/citation-style-language/schema/raw/master/csl-citation.json"}</w:instrText>
      </w:r>
      <w:r w:rsidR="00FA1BCC">
        <w:fldChar w:fldCharType="separate"/>
      </w:r>
      <w:r w:rsidR="00FA1BCC" w:rsidRPr="00FA1BCC">
        <w:rPr>
          <w:noProof/>
        </w:rPr>
        <w:t>[1]</w:t>
      </w:r>
      <w:r w:rsidR="00FA1BCC">
        <w:fldChar w:fldCharType="end"/>
      </w:r>
      <w:r w:rsidR="00E20907" w:rsidRPr="00E20907">
        <w:t>.</w:t>
      </w:r>
    </w:p>
    <w:p w14:paraId="142AEDB9" w14:textId="673420CA" w:rsidR="00E20907" w:rsidRDefault="00151DD1" w:rsidP="00420666">
      <w:r>
        <w:t xml:space="preserve">Отправной точкой в создании этих моделей является </w:t>
      </w:r>
      <w:r w:rsidR="00FA43AA">
        <w:t xml:space="preserve">анализ </w:t>
      </w:r>
      <w:r w:rsidR="00936EBD" w:rsidRPr="00936EBD">
        <w:t xml:space="preserve">магнитогидродинамического (МГД) равновесия </w:t>
      </w:r>
      <w:r w:rsidR="00577EC5">
        <w:t xml:space="preserve">плазмы </w:t>
      </w:r>
      <w:r w:rsidR="00936EBD" w:rsidRPr="00936EBD">
        <w:t>в магнитных ловушках</w:t>
      </w:r>
      <w:r w:rsidR="00FD4982">
        <w:t xml:space="preserve"> </w:t>
      </w:r>
      <w:r w:rsidR="00FD4982">
        <w:fldChar w:fldCharType="begin" w:fldLock="1"/>
      </w:r>
      <w:r w:rsidR="00915DC2">
        <w:instrText>ADDIN CSL_CITATION {"citationItems":[{"id":"ITEM-1","itemData":{"DOI":"10.1016/j.cpc.2014.02.008","ISSN":"00104655","abstract":"The development of a generalized two dimensional MHD equilibrium solver within the nimrod framework [Sovinec, et al., J. Comput. Phys. 195 (2004) 355] is discussed. Spectral elements are used to represent the poloidal plane. To permit the generation of spheromak and other compact equilibria, special consideration is given to ensure regularity at the geometric axis (R=0). The scalar field Λ=ψ/R2 is used as the dependent variable to express the Grad-Shafranov operator as a total divergence. With the correct gauge, regularity along the geometric axis is satisfied. The convergence properties of the spectral elements are investigated by comparing numerically generated equilibria against known analytic solutions. Equilibria accurate to double precision error are generated with sufficient resolution. Depending on the equilibrium, either geometric or algebraic convergence is observed as the polynomial degree of the spectral-element basis is increased.","author":[{"dropping-particle":"","family":"Howell","given":"E. C.","non-dropping-particle":"","parse-names":false,"suffix":""},{"dropping-particle":"","family":"Sovinec","given":"C. R.","non-dropping-particle":"","parse-names":false,"suffix":""}],"container-title":"Computer Physics Communications","id":"ITEM-1","issue":"5","issued":{"date-parts":[["2014"]]},"page":"1415-1421","publisher":"Elsevier B.V.","title":"Solving the Grad-Shafranov equation with spectral elements","type":"article-journal","volume":"185"},"uris":["http://www.mendeley.com/documents/?uuid=8dbed1c3-59d8-4c27-8496-8f7c918ead0c"]}],"mendeley":{"formattedCitation":"[2]","plainTextFormattedCitation":"[2]","previouslyFormattedCitation":"[2]"},"properties":{"noteIndex":0},"schema":"https://github.com/citation-style-language/schema/raw/master/csl-citation.json"}</w:instrText>
      </w:r>
      <w:r w:rsidR="00FD4982">
        <w:fldChar w:fldCharType="separate"/>
      </w:r>
      <w:r w:rsidR="00FA1BCC" w:rsidRPr="00FA1BCC">
        <w:rPr>
          <w:noProof/>
        </w:rPr>
        <w:t>[2]</w:t>
      </w:r>
      <w:r w:rsidR="00FD4982">
        <w:fldChar w:fldCharType="end"/>
      </w:r>
      <w:r w:rsidR="00936EBD" w:rsidRPr="00936EBD">
        <w:t xml:space="preserve">. </w:t>
      </w:r>
    </w:p>
    <w:p w14:paraId="024121F6" w14:textId="37854DF7" w:rsidR="00C30CB7" w:rsidRDefault="00137337" w:rsidP="00420666">
      <w:r>
        <w:t>МГД р</w:t>
      </w:r>
      <w:r w:rsidR="00C30CB7">
        <w:t xml:space="preserve">авновесие описывается </w:t>
      </w:r>
      <w:r w:rsidR="00D95FBF">
        <w:t xml:space="preserve">совокупностью </w:t>
      </w:r>
      <w:r w:rsidR="00C30CB7">
        <w:t>уравнени</w:t>
      </w:r>
      <w:r w:rsidR="00D95FBF">
        <w:t>й:</w:t>
      </w:r>
      <w:r w:rsidR="00C30CB7">
        <w:t xml:space="preserve"> баланс сил, Максвелла для магнитного поля </w:t>
      </w:r>
      <w:r w:rsidR="00C30CB7" w:rsidRPr="00C30CB7">
        <w:rPr>
          <w:b/>
          <w:bCs/>
          <w:lang w:val="en-US"/>
        </w:rPr>
        <w:t>B</w:t>
      </w:r>
      <w:r w:rsidR="00107FB8">
        <w:t>, а также законом Ампера</w:t>
      </w:r>
      <w:r w:rsidR="004C004F">
        <w:t>:</w:t>
      </w:r>
    </w:p>
    <w:p w14:paraId="55A8B6CA" w14:textId="01345605" w:rsidR="004C004F" w:rsidRDefault="004C004F" w:rsidP="004C004F">
      <w:pPr>
        <w:ind w:firstLine="0"/>
      </w:pPr>
      <w:r w:rsidRPr="004C004F">
        <w:rPr>
          <w:noProof/>
        </w:rPr>
        <w:drawing>
          <wp:inline distT="0" distB="0" distL="0" distR="0" wp14:anchorId="1B69AAFE" wp14:editId="44A2AB14">
            <wp:extent cx="5940425" cy="12490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249045"/>
                    </a:xfrm>
                    <a:prstGeom prst="rect">
                      <a:avLst/>
                    </a:prstGeom>
                  </pic:spPr>
                </pic:pic>
              </a:graphicData>
            </a:graphic>
          </wp:inline>
        </w:drawing>
      </w:r>
    </w:p>
    <w:p w14:paraId="4FD4A5D4" w14:textId="6BB6B90B" w:rsidR="00210954" w:rsidRDefault="00AA0033" w:rsidP="00AA0033">
      <w:pPr>
        <w:ind w:firstLine="0"/>
      </w:pPr>
      <w:r>
        <w:t>где –</w:t>
      </w:r>
      <w:r w:rsidRPr="00AA0033">
        <w:t xml:space="preserve"> </w:t>
      </w:r>
      <w:r w:rsidRPr="00AA0033">
        <w:rPr>
          <w:b/>
          <w:bCs/>
          <w:lang w:val="en-US"/>
        </w:rPr>
        <w:t>j</w:t>
      </w:r>
      <w:r w:rsidRPr="00AA0033">
        <w:t xml:space="preserve"> плотность тока, </w:t>
      </w:r>
      <w:r w:rsidRPr="00AA0033">
        <w:rPr>
          <w:b/>
          <w:bCs/>
        </w:rPr>
        <w:t>B</w:t>
      </w:r>
      <w:r w:rsidRPr="00AA0033">
        <w:t xml:space="preserve"> - </w:t>
      </w:r>
      <w:r w:rsidRPr="00AA0033">
        <w:rPr>
          <w:rFonts w:cs="Times New Roman"/>
        </w:rPr>
        <w:t>магнитное</w:t>
      </w:r>
      <w:r w:rsidRPr="00AA0033">
        <w:t xml:space="preserve"> </w:t>
      </w:r>
      <w:r w:rsidRPr="00AA0033">
        <w:rPr>
          <w:rFonts w:cs="Times New Roman"/>
        </w:rPr>
        <w:t>поле</w:t>
      </w:r>
      <w:r w:rsidRPr="00AA0033">
        <w:t xml:space="preserve">, </w:t>
      </w:r>
      <w:r>
        <w:rPr>
          <w:lang w:val="en-US"/>
        </w:rPr>
        <w:t>p</w:t>
      </w:r>
      <w:r w:rsidRPr="00AA0033">
        <w:t xml:space="preserve"> - </w:t>
      </w:r>
      <w:r w:rsidRPr="00AA0033">
        <w:rPr>
          <w:rFonts w:cs="Times New Roman"/>
        </w:rPr>
        <w:t>давление</w:t>
      </w:r>
      <w:r w:rsidRPr="00AA0033">
        <w:t xml:space="preserve"> </w:t>
      </w:r>
      <w:r w:rsidRPr="00AA0033">
        <w:rPr>
          <w:rFonts w:cs="Times New Roman"/>
        </w:rPr>
        <w:t>плазмы</w:t>
      </w:r>
      <w:r w:rsidRPr="00AA0033">
        <w:t xml:space="preserve">, </w:t>
      </w:r>
      <w:r w:rsidRPr="00AA0033">
        <w:rPr>
          <w:rFonts w:cs="Times New Roman"/>
        </w:rPr>
        <w:t>μ</w:t>
      </w:r>
      <w:r w:rsidRPr="00AA0033">
        <w:rPr>
          <w:vertAlign w:val="subscript"/>
        </w:rPr>
        <w:t>0</w:t>
      </w:r>
      <w:r w:rsidRPr="00AA0033">
        <w:t xml:space="preserve"> </w:t>
      </w:r>
      <w:r w:rsidR="00A03AD5">
        <w:t>–</w:t>
      </w:r>
      <w:r w:rsidRPr="00AA0033">
        <w:t xml:space="preserve"> </w:t>
      </w:r>
      <w:r w:rsidRPr="00AA0033">
        <w:rPr>
          <w:rFonts w:cs="Times New Roman"/>
        </w:rPr>
        <w:t>проницаемость</w:t>
      </w:r>
      <w:r w:rsidR="00A03AD5">
        <w:rPr>
          <w:rFonts w:cs="Times New Roman"/>
        </w:rPr>
        <w:t xml:space="preserve"> вакуума</w:t>
      </w:r>
      <w:r w:rsidRPr="00AA0033">
        <w:t>.</w:t>
      </w:r>
    </w:p>
    <w:p w14:paraId="5BE5CEE9" w14:textId="549F399E" w:rsidR="009726D5" w:rsidRDefault="009726D5" w:rsidP="009726D5">
      <w:r>
        <w:t xml:space="preserve">В случае </w:t>
      </w:r>
      <w:r w:rsidR="002C06C4">
        <w:t>аксиметричных</w:t>
      </w:r>
      <w:r>
        <w:t xml:space="preserve"> систем</w:t>
      </w:r>
      <w:r w:rsidR="002C06C4">
        <w:t xml:space="preserve">, таких как </w:t>
      </w:r>
      <w:r w:rsidR="002111C5">
        <w:t>токамаки</w:t>
      </w:r>
      <w:r w:rsidR="002C06C4">
        <w:t xml:space="preserve">, </w:t>
      </w:r>
      <w:r w:rsidR="002111C5">
        <w:t xml:space="preserve">из этих трех уравнений можно </w:t>
      </w:r>
      <w:r w:rsidR="004861A6">
        <w:t>получить уравнение Грэда Шафранова</w:t>
      </w:r>
      <w:r w:rsidR="00C620DE">
        <w:t>.</w:t>
      </w:r>
    </w:p>
    <w:p w14:paraId="7B724334" w14:textId="64290B98" w:rsidR="00C620DE" w:rsidRDefault="00C620DE" w:rsidP="00C620DE">
      <w:pPr>
        <w:ind w:firstLine="0"/>
      </w:pPr>
      <w:r w:rsidRPr="00C620DE">
        <w:rPr>
          <w:noProof/>
        </w:rPr>
        <w:drawing>
          <wp:inline distT="0" distB="0" distL="0" distR="0" wp14:anchorId="22E8223A" wp14:editId="3AEE5469">
            <wp:extent cx="5940425" cy="72771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727710"/>
                    </a:xfrm>
                    <a:prstGeom prst="rect">
                      <a:avLst/>
                    </a:prstGeom>
                  </pic:spPr>
                </pic:pic>
              </a:graphicData>
            </a:graphic>
          </wp:inline>
        </w:drawing>
      </w:r>
    </w:p>
    <w:p w14:paraId="57A88B92" w14:textId="39D7DF5D" w:rsidR="00C66DDA" w:rsidRPr="001E7FBB" w:rsidRDefault="00625795" w:rsidP="00C620DE">
      <w:pPr>
        <w:ind w:firstLine="0"/>
      </w:pPr>
      <w:r>
        <w:t xml:space="preserve">где </w:t>
      </w:r>
      <w:r w:rsidR="00C66DDA">
        <w:rPr>
          <w:rFonts w:cs="Times New Roman"/>
        </w:rPr>
        <w:t>ψ – поток</w:t>
      </w:r>
      <w:r w:rsidR="000B0A2D" w:rsidRPr="000B0A2D">
        <w:rPr>
          <w:rFonts w:cs="Times New Roman"/>
        </w:rPr>
        <w:t xml:space="preserve"> </w:t>
      </w:r>
      <w:r w:rsidR="003F7D0F">
        <w:rPr>
          <w:rFonts w:cs="Times New Roman"/>
        </w:rPr>
        <w:t>полоидального</w:t>
      </w:r>
      <w:r w:rsidR="00C66DDA">
        <w:rPr>
          <w:rFonts w:cs="Times New Roman"/>
        </w:rPr>
        <w:t xml:space="preserve"> магнитного поля </w:t>
      </w:r>
      <w:r w:rsidR="003F7D0F" w:rsidRPr="00B94919">
        <w:rPr>
          <w:rFonts w:cs="Times New Roman"/>
          <w:b/>
          <w:bCs/>
          <w:lang w:val="en-US"/>
        </w:rPr>
        <w:t>B</w:t>
      </w:r>
      <w:r w:rsidR="003F7D0F">
        <w:rPr>
          <w:rFonts w:cs="Times New Roman"/>
          <w:vertAlign w:val="subscript"/>
          <w:lang w:val="en-US"/>
        </w:rPr>
        <w:t>p</w:t>
      </w:r>
      <w:r w:rsidR="00DB1034" w:rsidRPr="00DB1034">
        <w:rPr>
          <w:rFonts w:cs="Times New Roman"/>
        </w:rPr>
        <w:t>,</w:t>
      </w:r>
      <w:r w:rsidR="00DB1034" w:rsidRPr="00C15F38">
        <w:rPr>
          <w:rFonts w:cs="Times New Roman"/>
        </w:rPr>
        <w:t xml:space="preserve"> </w:t>
      </w:r>
      <w:r w:rsidR="00106B0D">
        <w:rPr>
          <w:rFonts w:cs="Times New Roman"/>
          <w:lang w:val="en-US"/>
        </w:rPr>
        <w:t>F</w:t>
      </w:r>
      <w:r w:rsidR="00106B0D" w:rsidRPr="00106B0D">
        <w:rPr>
          <w:rFonts w:cs="Times New Roman"/>
        </w:rPr>
        <w:t>(</w:t>
      </w:r>
      <w:r w:rsidR="00106B0D">
        <w:rPr>
          <w:rFonts w:cs="Times New Roman"/>
        </w:rPr>
        <w:t>ψ</w:t>
      </w:r>
      <w:r w:rsidR="00106B0D" w:rsidRPr="00106B0D">
        <w:rPr>
          <w:rFonts w:cs="Times New Roman"/>
        </w:rPr>
        <w:t xml:space="preserve">) </w:t>
      </w:r>
      <w:r w:rsidR="00106B0D">
        <w:rPr>
          <w:rFonts w:cs="Times New Roman"/>
        </w:rPr>
        <w:t xml:space="preserve">– </w:t>
      </w:r>
      <w:proofErr w:type="spellStart"/>
      <w:r w:rsidR="00106B0D">
        <w:rPr>
          <w:rFonts w:cs="Times New Roman"/>
        </w:rPr>
        <w:t>полоидальный</w:t>
      </w:r>
      <w:proofErr w:type="spellEnd"/>
      <w:r w:rsidR="00106B0D">
        <w:rPr>
          <w:rFonts w:cs="Times New Roman"/>
        </w:rPr>
        <w:t xml:space="preserve"> ток</w:t>
      </w:r>
      <w:r w:rsidR="00B94919" w:rsidRPr="00B94919">
        <w:rPr>
          <w:rFonts w:cs="Times New Roman"/>
        </w:rPr>
        <w:t>.</w:t>
      </w:r>
      <w:r w:rsidR="003F7D0F" w:rsidRPr="003F7D0F">
        <w:rPr>
          <w:rFonts w:cs="Times New Roman"/>
          <w:vertAlign w:val="subscript"/>
        </w:rPr>
        <w:t xml:space="preserve"> </w:t>
      </w:r>
    </w:p>
    <w:p w14:paraId="15AEC30D" w14:textId="77FF3694" w:rsidR="00C620DE" w:rsidRDefault="00625795" w:rsidP="00C620DE">
      <w:pPr>
        <w:ind w:firstLine="0"/>
      </w:pPr>
      <w:r w:rsidRPr="00625795">
        <w:rPr>
          <w:noProof/>
        </w:rPr>
        <w:drawing>
          <wp:inline distT="0" distB="0" distL="0" distR="0" wp14:anchorId="28B904BA" wp14:editId="240A6F8A">
            <wp:extent cx="5940425" cy="65976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659765"/>
                    </a:xfrm>
                    <a:prstGeom prst="rect">
                      <a:avLst/>
                    </a:prstGeom>
                  </pic:spPr>
                </pic:pic>
              </a:graphicData>
            </a:graphic>
          </wp:inline>
        </w:drawing>
      </w:r>
    </w:p>
    <w:p w14:paraId="3C5E4FE1" w14:textId="036B7557" w:rsidR="00625795" w:rsidRDefault="006A3FE2" w:rsidP="006A3FE2">
      <w:r>
        <w:lastRenderedPageBreak/>
        <w:t>Решая уравнение Грэда-Шафранова (4) для известного распределения давления и</w:t>
      </w:r>
      <w:r w:rsidR="00DB1034">
        <w:t xml:space="preserve"> </w:t>
      </w:r>
      <w:r w:rsidR="00207445">
        <w:t>полоидального тока</w:t>
      </w:r>
      <w:r w:rsidR="00C91B29">
        <w:t xml:space="preserve"> можно найти </w:t>
      </w:r>
      <w:r w:rsidR="00AF32EE">
        <w:t xml:space="preserve">равновесные </w:t>
      </w:r>
      <w:r w:rsidR="00C91B29">
        <w:t>магнитные поверхности</w:t>
      </w:r>
      <w:r w:rsidR="00A42D5D">
        <w:t>.</w:t>
      </w:r>
    </w:p>
    <w:p w14:paraId="4AEF824E" w14:textId="441BC422" w:rsidR="00DA0E1B" w:rsidRDefault="00DA0E1B" w:rsidP="00DA0E1B">
      <w:pPr>
        <w:pStyle w:val="1"/>
      </w:pPr>
      <w:r>
        <w:t>АНАЛИТИЧЕСКИЕ РЕШЕНИЯ</w:t>
      </w:r>
    </w:p>
    <w:p w14:paraId="09401095" w14:textId="14F1A059" w:rsidR="00F562E5" w:rsidRDefault="00DA0E1B" w:rsidP="00F562E5">
      <w:r>
        <w:t>Уравнение Грэда-Шафранова (4) можно решить аналитически в ряде случаев.</w:t>
      </w:r>
      <w:r w:rsidR="00F562E5">
        <w:t xml:space="preserve"> </w:t>
      </w:r>
      <w:r w:rsidR="0073729D">
        <w:t xml:space="preserve">Эти решения, как и численные решения (об этом ниже), </w:t>
      </w:r>
      <w:r w:rsidR="00F562E5" w:rsidRPr="00F562E5">
        <w:t xml:space="preserve">полезны для изучения равновесия, устойчивости и транспортных свойств </w:t>
      </w:r>
      <w:r w:rsidR="00236FA4">
        <w:t>осесимметричных</w:t>
      </w:r>
      <w:r w:rsidR="00BC570B">
        <w:t xml:space="preserve"> </w:t>
      </w:r>
      <w:r w:rsidR="00F562E5" w:rsidRPr="00F562E5">
        <w:t xml:space="preserve">термоядерных устройств. </w:t>
      </w:r>
      <w:r w:rsidR="00131107">
        <w:t xml:space="preserve">Но, что еще важнее, </w:t>
      </w:r>
      <w:r w:rsidR="008D7993">
        <w:t xml:space="preserve">аналитические решения </w:t>
      </w:r>
      <w:r w:rsidR="001C6069">
        <w:t xml:space="preserve">важны </w:t>
      </w:r>
      <w:r w:rsidR="00F562E5" w:rsidRPr="00F562E5">
        <w:t>для</w:t>
      </w:r>
      <w:r w:rsidR="00C566E0">
        <w:t xml:space="preserve"> сравнения численных решений</w:t>
      </w:r>
      <w:r w:rsidR="00F562E5" w:rsidRPr="00F562E5">
        <w:t xml:space="preserve"> </w:t>
      </w:r>
      <w:r w:rsidR="007378C1">
        <w:t xml:space="preserve">различных </w:t>
      </w:r>
      <w:r w:rsidR="00F562E5" w:rsidRPr="00F562E5">
        <w:t>кодов</w:t>
      </w:r>
      <w:r w:rsidR="00252B40">
        <w:t>. Это важно</w:t>
      </w:r>
      <w:r w:rsidR="00F562E5" w:rsidRPr="00F562E5">
        <w:t xml:space="preserve"> для сложн</w:t>
      </w:r>
      <w:r w:rsidR="009301ED">
        <w:t>ых</w:t>
      </w:r>
      <w:r w:rsidR="00F562E5" w:rsidRPr="00F562E5">
        <w:t xml:space="preserve"> ситуаци</w:t>
      </w:r>
      <w:r w:rsidR="00ED088B">
        <w:t>й</w:t>
      </w:r>
      <w:r w:rsidR="00F562E5" w:rsidRPr="00F562E5">
        <w:t>, когда</w:t>
      </w:r>
      <w:r w:rsidR="00B1282D">
        <w:t xml:space="preserve"> приближение большого аспектного соотношения не оправдано</w:t>
      </w:r>
      <w:r w:rsidR="00F562E5" w:rsidRPr="00F562E5">
        <w:t>,</w:t>
      </w:r>
      <w:r w:rsidR="00BE312E">
        <w:t xml:space="preserve"> как в случае</w:t>
      </w:r>
      <w:r w:rsidR="000D4374">
        <w:t xml:space="preserve"> </w:t>
      </w:r>
      <w:r w:rsidR="00F562E5" w:rsidRPr="00F562E5">
        <w:t>сферическ</w:t>
      </w:r>
      <w:r w:rsidR="008D21F4">
        <w:t>их</w:t>
      </w:r>
      <w:r w:rsidR="00F562E5" w:rsidRPr="00F562E5">
        <w:t xml:space="preserve"> токамак</w:t>
      </w:r>
      <w:r w:rsidR="008D21F4">
        <w:t>ов</w:t>
      </w:r>
      <w:r w:rsidR="006C298B" w:rsidRPr="006C298B">
        <w:t xml:space="preserve"> </w:t>
      </w:r>
      <w:r w:rsidR="006C298B">
        <w:fldChar w:fldCharType="begin" w:fldLock="1"/>
      </w:r>
      <w:r w:rsidR="006C298B">
        <w:instrText>ADDIN CSL_CITATION {"citationItems":[{"id":"ITEM-1","itemData":{"DOI":"10.1063/1.3328818","ISSN":"1070664X","abstract":"An extended analytic solution to the Grad-Shafranov equation using Solov'ev profiles is presented. The solution describes standard tokamaks, spherical tokamaks, spheromaks, and field reversed configurations. It allows arbitrary aspect ratio, elongation, and triangularity as well as a plasma surface that can be smooth or possess a double or single null divertor X-point. The solution can also be used to evaluate the equilibrium beta limit in a tokamak and spherical tokamak in which a separatrix moves onto the inner surface of the plasma. © 2010 American Institute of Physics.","author":[{"dropping-particle":"","family":"Cerfon","given":"Antoine J.","non-dropping-particle":"","parse-names":false,"suffix":""},{"dropping-particle":"","family":"Freidberg","given":"Jeffrey P.","non-dropping-particle":"","parse-names":false,"suffix":""}],"container-title":"Physics of Plasmas","id":"ITEM-1","issue":"3","issued":{"date-parts":[["2010"]]},"title":"\"one size fits all\" analytic solutions to the Grad-Shafranov equation","type":"article-journal","volume":"17"},"uris":["http://www.mendeley.com/documents/?uuid=3390e06e-3db7-4f60-8094-9d02402463fa"]}],"mendeley":{"formattedCitation":"[3]","plainTextFormattedCitation":"[3]"},"properties":{"noteIndex":0},"schema":"https://github.com/citation-style-language/schema/raw/master/csl-citation.json"}</w:instrText>
      </w:r>
      <w:r w:rsidR="006C298B">
        <w:fldChar w:fldCharType="separate"/>
      </w:r>
      <w:r w:rsidR="006C298B" w:rsidRPr="006C298B">
        <w:rPr>
          <w:noProof/>
        </w:rPr>
        <w:t>[3]</w:t>
      </w:r>
      <w:r w:rsidR="006C298B">
        <w:fldChar w:fldCharType="end"/>
      </w:r>
      <w:r w:rsidR="00F562E5" w:rsidRPr="00F562E5">
        <w:t>.</w:t>
      </w:r>
    </w:p>
    <w:p w14:paraId="03407F77" w14:textId="678D7F14" w:rsidR="00DE388E" w:rsidRPr="006A3FE2" w:rsidRDefault="00DE388E" w:rsidP="006A3FE2">
      <w:r>
        <w:t>Аналитические решения имеют ограниченную применимость</w:t>
      </w:r>
      <w:r w:rsidR="001726BA">
        <w:t xml:space="preserve"> к большинству плазменных экспериментов</w:t>
      </w:r>
      <w:r w:rsidR="00AF0A5C">
        <w:t xml:space="preserve">, поэтому решать это уравнение </w:t>
      </w:r>
      <w:r w:rsidR="00BB6C27">
        <w:t xml:space="preserve">приходится </w:t>
      </w:r>
      <w:r w:rsidR="00AF0A5C">
        <w:t>численно</w:t>
      </w:r>
      <w:r w:rsidR="00915DC2">
        <w:t xml:space="preserve"> </w:t>
      </w:r>
      <w:r w:rsidR="00915DC2">
        <w:fldChar w:fldCharType="begin" w:fldLock="1"/>
      </w:r>
      <w:r w:rsidR="006C298B">
        <w:instrText>ADDIN CSL_CITATION {"citationItems":[{"id":"ITEM-1","itemData":{"DOI":"10.1016/j.cpc.2014.02.008","ISSN":"00104655","abstract":"The development of a generalized two dimensional MHD equilibrium solver within the nimrod framework [Sovinec, et al., J. Comput. Phys. 195 (2004) 355] is discussed. Spectral elements are used to represent the poloidal plane. To permit the generation of spheromak and other compact equilibria, special consideration is given to ensure regularity at the geometric axis (R=0). The scalar field Λ=ψ/R2 is used as the dependent variable to express the Grad-Shafranov operator as a total divergence. With the correct gauge, regularity along the geometric axis is satisfied. The convergence properties of the spectral elements are investigated by comparing numerically generated equilibria against known analytic solutions. Equilibria accurate to double precision error are generated with sufficient resolution. Depending on the equilibrium, either geometric or algebraic convergence is observed as the polynomial degree of the spectral-element basis is increased.","author":[{"dropping-particle":"","family":"Howell","given":"E. C.","non-dropping-particle":"","parse-names":false,"suffix":""},{"dropping-particle":"","family":"Sovinec","given":"C. R.","non-dropping-particle":"","parse-names":false,"suffix":""}],"container-title":"Computer Physics Communications","id":"ITEM-1","issue":"5","issued":{"date-parts":[["2014"]]},"page":"1415-1421","publisher":"Elsevier B.V.","title":"Solving the Grad-Shafranov equation with spectral elements","type":"article-journal","volume":"185"},"uris":["http://www.mendeley.com/documents/?uuid=8dbed1c3-59d8-4c27-8496-8f7c918ead0c"]}],"mendeley":{"formattedCitation":"[2]","plainTextFormattedCitation":"[2]","previouslyFormattedCitation":"[2]"},"properties":{"noteIndex":0},"schema":"https://github.com/citation-style-language/schema/raw/master/csl-citation.json"}</w:instrText>
      </w:r>
      <w:r w:rsidR="00915DC2">
        <w:fldChar w:fldCharType="separate"/>
      </w:r>
      <w:r w:rsidR="00915DC2" w:rsidRPr="00915DC2">
        <w:rPr>
          <w:noProof/>
        </w:rPr>
        <w:t>[2]</w:t>
      </w:r>
      <w:r w:rsidR="00915DC2">
        <w:fldChar w:fldCharType="end"/>
      </w:r>
      <w:r w:rsidR="00BB6C27">
        <w:t>.</w:t>
      </w:r>
    </w:p>
    <w:p w14:paraId="30B50F42" w14:textId="7674C9BC" w:rsidR="00E969D1" w:rsidRPr="00936EBD" w:rsidRDefault="00E969D1" w:rsidP="00706CA3">
      <w:pPr>
        <w:spacing w:after="160" w:line="259" w:lineRule="auto"/>
        <w:ind w:firstLine="0"/>
        <w:contextualSpacing w:val="0"/>
        <w:jc w:val="left"/>
      </w:pPr>
      <w:r w:rsidRPr="00936EBD">
        <w:br w:type="page"/>
      </w:r>
    </w:p>
    <w:p w14:paraId="416642CB" w14:textId="1401A7E1" w:rsidR="00E969D1" w:rsidRDefault="00E969D1" w:rsidP="006C298B">
      <w:pPr>
        <w:pStyle w:val="2"/>
      </w:pPr>
      <w:proofErr w:type="spellStart"/>
      <w:r>
        <w:lastRenderedPageBreak/>
        <w:t>Литобзор</w:t>
      </w:r>
      <w:proofErr w:type="spellEnd"/>
      <w:r>
        <w:t xml:space="preserve"> состав</w:t>
      </w:r>
    </w:p>
    <w:p w14:paraId="3F63CB0D" w14:textId="63C616D1" w:rsidR="00E969D1" w:rsidRDefault="00E969D1" w:rsidP="00E969D1">
      <w:pPr>
        <w:pStyle w:val="a7"/>
        <w:numPr>
          <w:ilvl w:val="0"/>
          <w:numId w:val="3"/>
        </w:numPr>
        <w:spacing w:after="160" w:line="259" w:lineRule="auto"/>
      </w:pPr>
      <w:r>
        <w:t>Какие есть решатели</w:t>
      </w:r>
    </w:p>
    <w:p w14:paraId="727190F4" w14:textId="77777777" w:rsidR="00E969D1" w:rsidRDefault="00E969D1" w:rsidP="00E969D1">
      <w:pPr>
        <w:pStyle w:val="a7"/>
        <w:numPr>
          <w:ilvl w:val="0"/>
          <w:numId w:val="3"/>
        </w:numPr>
        <w:spacing w:after="160" w:line="259" w:lineRule="auto"/>
      </w:pPr>
      <w:r>
        <w:t>Нужен решатель для нужд МИФИСТА</w:t>
      </w:r>
    </w:p>
    <w:p w14:paraId="09D2DBAD" w14:textId="77777777" w:rsidR="00E969D1" w:rsidRDefault="00E969D1" w:rsidP="00E969D1">
      <w:pPr>
        <w:pStyle w:val="a7"/>
        <w:numPr>
          <w:ilvl w:val="0"/>
          <w:numId w:val="3"/>
        </w:numPr>
        <w:spacing w:after="160" w:line="259" w:lineRule="auto"/>
      </w:pPr>
      <w:r>
        <w:t>Уравнения Грэда Шафранова важно для моделирования широкого класса задач (</w:t>
      </w:r>
      <w:proofErr w:type="gramStart"/>
      <w:r>
        <w:t>в частности</w:t>
      </w:r>
      <w:proofErr w:type="gramEnd"/>
      <w:r>
        <w:t xml:space="preserve"> для плазменных двигателей)</w:t>
      </w:r>
    </w:p>
    <w:p w14:paraId="79423936" w14:textId="077A0B88" w:rsidR="00E969D1" w:rsidRDefault="00E969D1" w:rsidP="00E969D1">
      <w:pPr>
        <w:pStyle w:val="a7"/>
        <w:numPr>
          <w:ilvl w:val="0"/>
          <w:numId w:val="3"/>
        </w:numPr>
        <w:spacing w:after="160" w:line="259" w:lineRule="auto"/>
      </w:pPr>
      <w:r>
        <w:t xml:space="preserve">Сравнение </w:t>
      </w:r>
      <w:r w:rsidR="00BF1EE1">
        <w:t>для обработки</w:t>
      </w:r>
      <w:r>
        <w:t xml:space="preserve"> данных </w:t>
      </w:r>
      <w:proofErr w:type="spellStart"/>
      <w:r>
        <w:t>мифиста</w:t>
      </w:r>
      <w:proofErr w:type="spellEnd"/>
      <w:r>
        <w:t>??</w:t>
      </w:r>
    </w:p>
    <w:p w14:paraId="7C99C3C0" w14:textId="54405B6B" w:rsidR="008805DD" w:rsidRDefault="00E969D1" w:rsidP="00E969D1">
      <w:pPr>
        <w:pStyle w:val="a7"/>
        <w:numPr>
          <w:ilvl w:val="0"/>
          <w:numId w:val="3"/>
        </w:numPr>
        <w:spacing w:after="160" w:line="259" w:lineRule="auto"/>
      </w:pPr>
      <w:r>
        <w:t xml:space="preserve">ГШ важен, как отправная точка в моделированиях положения плазменного шнура, горящего разряда и </w:t>
      </w:r>
      <w:proofErr w:type="gramStart"/>
      <w:r>
        <w:t>т.д.</w:t>
      </w:r>
      <w:proofErr w:type="gramEnd"/>
    </w:p>
    <w:p w14:paraId="43FFFD40" w14:textId="77777777" w:rsidR="008805DD" w:rsidRDefault="008805DD">
      <w:pPr>
        <w:spacing w:after="160" w:line="259" w:lineRule="auto"/>
        <w:ind w:firstLine="0"/>
        <w:contextualSpacing w:val="0"/>
        <w:jc w:val="left"/>
      </w:pPr>
      <w:r>
        <w:br w:type="page"/>
      </w:r>
    </w:p>
    <w:p w14:paraId="34524C28" w14:textId="4676E000" w:rsidR="00E969D1" w:rsidRPr="00C30CB7" w:rsidRDefault="008805DD" w:rsidP="00C30CB7">
      <w:pPr>
        <w:pStyle w:val="1"/>
        <w:ind w:firstLine="1"/>
        <w:rPr>
          <w:lang w:val="en-US"/>
        </w:rPr>
      </w:pPr>
      <w:r>
        <w:lastRenderedPageBreak/>
        <w:t>СПИСОК</w:t>
      </w:r>
      <w:r w:rsidRPr="00C30CB7">
        <w:rPr>
          <w:lang w:val="en-US"/>
        </w:rPr>
        <w:t xml:space="preserve"> </w:t>
      </w:r>
      <w:r>
        <w:t>ЛИТЕРАТУРЫ</w:t>
      </w:r>
    </w:p>
    <w:p w14:paraId="59F40772" w14:textId="2D79807C" w:rsidR="006C298B" w:rsidRPr="00706CA3" w:rsidRDefault="00FD4982" w:rsidP="006C298B">
      <w:pPr>
        <w:widowControl w:val="0"/>
        <w:autoSpaceDE w:val="0"/>
        <w:autoSpaceDN w:val="0"/>
        <w:adjustRightInd w:val="0"/>
        <w:ind w:left="640" w:hanging="640"/>
        <w:rPr>
          <w:rFonts w:cs="Times New Roman"/>
          <w:noProof/>
          <w:szCs w:val="24"/>
          <w:lang w:val="en-US"/>
        </w:rPr>
      </w:pPr>
      <w:r>
        <w:fldChar w:fldCharType="begin" w:fldLock="1"/>
      </w:r>
      <w:r w:rsidRPr="00C30CB7">
        <w:rPr>
          <w:lang w:val="en-US"/>
        </w:rPr>
        <w:instrText xml:space="preserve">ADDIN Mendeley Bibliography CSL_BIBLIOGRAPHY </w:instrText>
      </w:r>
      <w:r>
        <w:fldChar w:fldCharType="separate"/>
      </w:r>
      <w:r w:rsidR="006C298B" w:rsidRPr="00706CA3">
        <w:rPr>
          <w:rFonts w:cs="Times New Roman"/>
          <w:noProof/>
          <w:szCs w:val="24"/>
          <w:lang w:val="en-US"/>
        </w:rPr>
        <w:t>1.</w:t>
      </w:r>
      <w:r w:rsidR="006C298B" w:rsidRPr="00706CA3">
        <w:rPr>
          <w:rFonts w:cs="Times New Roman"/>
          <w:noProof/>
          <w:szCs w:val="24"/>
          <w:lang w:val="en-US"/>
        </w:rPr>
        <w:tab/>
        <w:t>LoDestro L.L., Pearlstein L.D. On the Grad-Shafranov equation as an eigenvalue problem, with implications for q solvers // Phys. Plasmas. 1994. Vol. 1, № 1. P. 90–95.</w:t>
      </w:r>
    </w:p>
    <w:p w14:paraId="01CE8173" w14:textId="77777777" w:rsidR="006C298B" w:rsidRPr="00706CA3" w:rsidRDefault="006C298B" w:rsidP="006C298B">
      <w:pPr>
        <w:widowControl w:val="0"/>
        <w:autoSpaceDE w:val="0"/>
        <w:autoSpaceDN w:val="0"/>
        <w:adjustRightInd w:val="0"/>
        <w:ind w:left="640" w:hanging="640"/>
        <w:rPr>
          <w:rFonts w:cs="Times New Roman"/>
          <w:noProof/>
          <w:szCs w:val="24"/>
          <w:lang w:val="en-US"/>
        </w:rPr>
      </w:pPr>
      <w:r w:rsidRPr="00706CA3">
        <w:rPr>
          <w:rFonts w:cs="Times New Roman"/>
          <w:noProof/>
          <w:szCs w:val="24"/>
          <w:lang w:val="en-US"/>
        </w:rPr>
        <w:t>2.</w:t>
      </w:r>
      <w:r w:rsidRPr="00706CA3">
        <w:rPr>
          <w:rFonts w:cs="Times New Roman"/>
          <w:noProof/>
          <w:szCs w:val="24"/>
          <w:lang w:val="en-US"/>
        </w:rPr>
        <w:tab/>
        <w:t>Howell E.C., Sovinec C.R. Solving the Grad-Shafranov equation with spectral elements // Comput. Phys. Commun. Elsevier B.V., 2014. Vol. 185, № 5. P. 1415–1421.</w:t>
      </w:r>
    </w:p>
    <w:p w14:paraId="6A48D4DE" w14:textId="77777777" w:rsidR="006C298B" w:rsidRPr="006C298B" w:rsidRDefault="006C298B" w:rsidP="006C298B">
      <w:pPr>
        <w:widowControl w:val="0"/>
        <w:autoSpaceDE w:val="0"/>
        <w:autoSpaceDN w:val="0"/>
        <w:adjustRightInd w:val="0"/>
        <w:ind w:left="640" w:hanging="640"/>
        <w:rPr>
          <w:rFonts w:cs="Times New Roman"/>
          <w:noProof/>
        </w:rPr>
      </w:pPr>
      <w:r w:rsidRPr="00706CA3">
        <w:rPr>
          <w:rFonts w:cs="Times New Roman"/>
          <w:noProof/>
          <w:szCs w:val="24"/>
          <w:lang w:val="en-US"/>
        </w:rPr>
        <w:t>3.</w:t>
      </w:r>
      <w:r w:rsidRPr="00706CA3">
        <w:rPr>
          <w:rFonts w:cs="Times New Roman"/>
          <w:noProof/>
          <w:szCs w:val="24"/>
          <w:lang w:val="en-US"/>
        </w:rPr>
        <w:tab/>
        <w:t xml:space="preserve">Cerfon A.J., Freidberg J.P. “one size fits all” analytic solutions to the Grad-Shafranov equation // Phys. </w:t>
      </w:r>
      <w:r w:rsidRPr="006C298B">
        <w:rPr>
          <w:rFonts w:cs="Times New Roman"/>
          <w:noProof/>
          <w:szCs w:val="24"/>
        </w:rPr>
        <w:t>Plasmas. 2010. Vol. 17, № 3.</w:t>
      </w:r>
    </w:p>
    <w:p w14:paraId="6E39EDC7" w14:textId="67B3D4EE" w:rsidR="00CB4A00" w:rsidRPr="00E969D1" w:rsidRDefault="00FD4982" w:rsidP="00E969D1">
      <w:pPr>
        <w:ind w:firstLine="0"/>
      </w:pPr>
      <w:r>
        <w:fldChar w:fldCharType="end"/>
      </w:r>
    </w:p>
    <w:sectPr w:rsidR="00CB4A00" w:rsidRPr="00E969D1">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27342" w14:textId="77777777" w:rsidR="00C20905" w:rsidRDefault="00C20905" w:rsidP="00D07E79">
      <w:pPr>
        <w:spacing w:line="240" w:lineRule="auto"/>
      </w:pPr>
      <w:r>
        <w:separator/>
      </w:r>
    </w:p>
  </w:endnote>
  <w:endnote w:type="continuationSeparator" w:id="0">
    <w:p w14:paraId="55AC8FD6" w14:textId="77777777" w:rsidR="00C20905" w:rsidRDefault="00C20905" w:rsidP="00D07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003198"/>
      <w:docPartObj>
        <w:docPartGallery w:val="Page Numbers (Bottom of Page)"/>
        <w:docPartUnique/>
      </w:docPartObj>
    </w:sdtPr>
    <w:sdtEndPr>
      <w:rPr>
        <w:sz w:val="22"/>
      </w:rPr>
    </w:sdtEndPr>
    <w:sdtContent>
      <w:p w14:paraId="22B8BC10" w14:textId="10BFD4B3" w:rsidR="00D07E79" w:rsidRPr="003B3FFE" w:rsidRDefault="00EE3EBA" w:rsidP="003B3FFE">
        <w:pPr>
          <w:pStyle w:val="a5"/>
          <w:jc w:val="center"/>
          <w:rPr>
            <w:sz w:val="22"/>
          </w:rPr>
        </w:pPr>
        <w:r w:rsidRPr="00CB4A00">
          <w:rPr>
            <w:sz w:val="22"/>
          </w:rPr>
          <w:fldChar w:fldCharType="begin"/>
        </w:r>
        <w:r w:rsidRPr="00CB4A00">
          <w:rPr>
            <w:sz w:val="22"/>
          </w:rPr>
          <w:instrText>PAGE   \* MERGEFORMAT</w:instrText>
        </w:r>
        <w:r w:rsidRPr="00CB4A00">
          <w:rPr>
            <w:sz w:val="22"/>
          </w:rPr>
          <w:fldChar w:fldCharType="separate"/>
        </w:r>
        <w:r w:rsidRPr="00CB4A00">
          <w:rPr>
            <w:sz w:val="22"/>
          </w:rPr>
          <w:t>2</w:t>
        </w:r>
        <w:r w:rsidRPr="00CB4A00">
          <w:rPr>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E5168" w14:textId="77777777" w:rsidR="00C20905" w:rsidRDefault="00C20905" w:rsidP="00D07E79">
      <w:pPr>
        <w:spacing w:line="240" w:lineRule="auto"/>
      </w:pPr>
      <w:r>
        <w:separator/>
      </w:r>
    </w:p>
  </w:footnote>
  <w:footnote w:type="continuationSeparator" w:id="0">
    <w:p w14:paraId="148CEFB3" w14:textId="77777777" w:rsidR="00C20905" w:rsidRDefault="00C20905" w:rsidP="00D07E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40BB6"/>
    <w:multiLevelType w:val="hybridMultilevel"/>
    <w:tmpl w:val="7954F584"/>
    <w:lvl w:ilvl="0" w:tplc="168440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15317A9"/>
    <w:multiLevelType w:val="hybridMultilevel"/>
    <w:tmpl w:val="E93A12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41675F57"/>
    <w:multiLevelType w:val="hybridMultilevel"/>
    <w:tmpl w:val="C506EA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A3"/>
    <w:rsid w:val="00000C16"/>
    <w:rsid w:val="00000DCF"/>
    <w:rsid w:val="000028D6"/>
    <w:rsid w:val="00014D28"/>
    <w:rsid w:val="00017B5E"/>
    <w:rsid w:val="000224A5"/>
    <w:rsid w:val="00025FF5"/>
    <w:rsid w:val="00043D3E"/>
    <w:rsid w:val="000605BB"/>
    <w:rsid w:val="00060A85"/>
    <w:rsid w:val="00060B08"/>
    <w:rsid w:val="0006448C"/>
    <w:rsid w:val="0007700E"/>
    <w:rsid w:val="00086CE4"/>
    <w:rsid w:val="0009499E"/>
    <w:rsid w:val="000A7B1E"/>
    <w:rsid w:val="000B0222"/>
    <w:rsid w:val="000B0A2D"/>
    <w:rsid w:val="000B2276"/>
    <w:rsid w:val="000B5433"/>
    <w:rsid w:val="000C0AEF"/>
    <w:rsid w:val="000C42C9"/>
    <w:rsid w:val="000C6FD6"/>
    <w:rsid w:val="000D31AC"/>
    <w:rsid w:val="000D379A"/>
    <w:rsid w:val="000D4144"/>
    <w:rsid w:val="000D4374"/>
    <w:rsid w:val="000D57D6"/>
    <w:rsid w:val="000D69EB"/>
    <w:rsid w:val="000E5BBF"/>
    <w:rsid w:val="000E66A3"/>
    <w:rsid w:val="00100FD1"/>
    <w:rsid w:val="00106B0D"/>
    <w:rsid w:val="00107FB8"/>
    <w:rsid w:val="00111527"/>
    <w:rsid w:val="0011376A"/>
    <w:rsid w:val="00113901"/>
    <w:rsid w:val="00123923"/>
    <w:rsid w:val="00126166"/>
    <w:rsid w:val="00131107"/>
    <w:rsid w:val="00137337"/>
    <w:rsid w:val="0014073C"/>
    <w:rsid w:val="001428C5"/>
    <w:rsid w:val="001433FE"/>
    <w:rsid w:val="001443EB"/>
    <w:rsid w:val="00151DD1"/>
    <w:rsid w:val="00163426"/>
    <w:rsid w:val="0016562C"/>
    <w:rsid w:val="00166E89"/>
    <w:rsid w:val="001726BA"/>
    <w:rsid w:val="00173DC4"/>
    <w:rsid w:val="00181B1C"/>
    <w:rsid w:val="001834F0"/>
    <w:rsid w:val="001877D3"/>
    <w:rsid w:val="0019317A"/>
    <w:rsid w:val="001A322E"/>
    <w:rsid w:val="001A3402"/>
    <w:rsid w:val="001A4182"/>
    <w:rsid w:val="001A6A79"/>
    <w:rsid w:val="001B47DC"/>
    <w:rsid w:val="001C6069"/>
    <w:rsid w:val="001E3BB1"/>
    <w:rsid w:val="001E3CCE"/>
    <w:rsid w:val="001E47F6"/>
    <w:rsid w:val="001E7FBB"/>
    <w:rsid w:val="001F47E6"/>
    <w:rsid w:val="002007C8"/>
    <w:rsid w:val="00206006"/>
    <w:rsid w:val="00207445"/>
    <w:rsid w:val="00210954"/>
    <w:rsid w:val="002111C5"/>
    <w:rsid w:val="002241A8"/>
    <w:rsid w:val="0023127D"/>
    <w:rsid w:val="002321C4"/>
    <w:rsid w:val="00233265"/>
    <w:rsid w:val="002362E0"/>
    <w:rsid w:val="00236FA4"/>
    <w:rsid w:val="0024124E"/>
    <w:rsid w:val="002416F1"/>
    <w:rsid w:val="00245973"/>
    <w:rsid w:val="00252B40"/>
    <w:rsid w:val="00253D3A"/>
    <w:rsid w:val="00254616"/>
    <w:rsid w:val="00261B44"/>
    <w:rsid w:val="002702AF"/>
    <w:rsid w:val="002724BA"/>
    <w:rsid w:val="00274B64"/>
    <w:rsid w:val="002767EE"/>
    <w:rsid w:val="00280EF4"/>
    <w:rsid w:val="002823A9"/>
    <w:rsid w:val="002860E9"/>
    <w:rsid w:val="00291E54"/>
    <w:rsid w:val="00294F98"/>
    <w:rsid w:val="00297E74"/>
    <w:rsid w:val="002C06C4"/>
    <w:rsid w:val="002E093B"/>
    <w:rsid w:val="002E5995"/>
    <w:rsid w:val="002E6FF3"/>
    <w:rsid w:val="002F490F"/>
    <w:rsid w:val="00301B40"/>
    <w:rsid w:val="00304266"/>
    <w:rsid w:val="00307605"/>
    <w:rsid w:val="003110CF"/>
    <w:rsid w:val="00313174"/>
    <w:rsid w:val="0031637C"/>
    <w:rsid w:val="003234F7"/>
    <w:rsid w:val="00323D5A"/>
    <w:rsid w:val="003262DA"/>
    <w:rsid w:val="00331FAB"/>
    <w:rsid w:val="0034627D"/>
    <w:rsid w:val="00353541"/>
    <w:rsid w:val="00366F5D"/>
    <w:rsid w:val="00372286"/>
    <w:rsid w:val="00372612"/>
    <w:rsid w:val="00374E45"/>
    <w:rsid w:val="003827EA"/>
    <w:rsid w:val="00386FC9"/>
    <w:rsid w:val="00396679"/>
    <w:rsid w:val="003A100E"/>
    <w:rsid w:val="003A552B"/>
    <w:rsid w:val="003B3FFE"/>
    <w:rsid w:val="003D0614"/>
    <w:rsid w:val="003E0A8B"/>
    <w:rsid w:val="003E26E8"/>
    <w:rsid w:val="003F27A7"/>
    <w:rsid w:val="003F2E89"/>
    <w:rsid w:val="003F7D0F"/>
    <w:rsid w:val="00403E54"/>
    <w:rsid w:val="00403F8F"/>
    <w:rsid w:val="00420666"/>
    <w:rsid w:val="00427644"/>
    <w:rsid w:val="00437075"/>
    <w:rsid w:val="00450B1C"/>
    <w:rsid w:val="00453546"/>
    <w:rsid w:val="0045782E"/>
    <w:rsid w:val="00465C55"/>
    <w:rsid w:val="004861A6"/>
    <w:rsid w:val="00497FEF"/>
    <w:rsid w:val="004A2D91"/>
    <w:rsid w:val="004B3759"/>
    <w:rsid w:val="004C004F"/>
    <w:rsid w:val="004C4790"/>
    <w:rsid w:val="004C5C77"/>
    <w:rsid w:val="004D04B0"/>
    <w:rsid w:val="004D5923"/>
    <w:rsid w:val="004F35FF"/>
    <w:rsid w:val="004F4F88"/>
    <w:rsid w:val="004F574D"/>
    <w:rsid w:val="005002D2"/>
    <w:rsid w:val="005012DF"/>
    <w:rsid w:val="0050604D"/>
    <w:rsid w:val="00511047"/>
    <w:rsid w:val="005170BF"/>
    <w:rsid w:val="0052187C"/>
    <w:rsid w:val="005239ED"/>
    <w:rsid w:val="00535228"/>
    <w:rsid w:val="00536E1B"/>
    <w:rsid w:val="00537EEE"/>
    <w:rsid w:val="00543217"/>
    <w:rsid w:val="005559A5"/>
    <w:rsid w:val="00563975"/>
    <w:rsid w:val="00570F23"/>
    <w:rsid w:val="005739F0"/>
    <w:rsid w:val="00577EC5"/>
    <w:rsid w:val="00585D21"/>
    <w:rsid w:val="005932B2"/>
    <w:rsid w:val="005A158E"/>
    <w:rsid w:val="005A227C"/>
    <w:rsid w:val="005A325F"/>
    <w:rsid w:val="005A3FB3"/>
    <w:rsid w:val="005A56AA"/>
    <w:rsid w:val="005A7320"/>
    <w:rsid w:val="005C24C2"/>
    <w:rsid w:val="005D0193"/>
    <w:rsid w:val="005E06A5"/>
    <w:rsid w:val="005E0C8E"/>
    <w:rsid w:val="005E5394"/>
    <w:rsid w:val="006023B7"/>
    <w:rsid w:val="00616F42"/>
    <w:rsid w:val="00617BAD"/>
    <w:rsid w:val="00620977"/>
    <w:rsid w:val="00620982"/>
    <w:rsid w:val="00625795"/>
    <w:rsid w:val="006310E0"/>
    <w:rsid w:val="00635188"/>
    <w:rsid w:val="006359E2"/>
    <w:rsid w:val="00641943"/>
    <w:rsid w:val="006420E0"/>
    <w:rsid w:val="00642C1A"/>
    <w:rsid w:val="00656D39"/>
    <w:rsid w:val="00660DAF"/>
    <w:rsid w:val="00662E74"/>
    <w:rsid w:val="00670237"/>
    <w:rsid w:val="00671ACB"/>
    <w:rsid w:val="00674F9C"/>
    <w:rsid w:val="00675AA9"/>
    <w:rsid w:val="0067645A"/>
    <w:rsid w:val="0068408D"/>
    <w:rsid w:val="00690808"/>
    <w:rsid w:val="00690FD3"/>
    <w:rsid w:val="006958BC"/>
    <w:rsid w:val="006A00D4"/>
    <w:rsid w:val="006A07F0"/>
    <w:rsid w:val="006A0B95"/>
    <w:rsid w:val="006A1792"/>
    <w:rsid w:val="006A3FE2"/>
    <w:rsid w:val="006A5E05"/>
    <w:rsid w:val="006B3243"/>
    <w:rsid w:val="006B55F0"/>
    <w:rsid w:val="006B7232"/>
    <w:rsid w:val="006C298B"/>
    <w:rsid w:val="006C3D36"/>
    <w:rsid w:val="006D1C3A"/>
    <w:rsid w:val="006E559C"/>
    <w:rsid w:val="006E561D"/>
    <w:rsid w:val="006E6971"/>
    <w:rsid w:val="006F0681"/>
    <w:rsid w:val="006F227E"/>
    <w:rsid w:val="007054EB"/>
    <w:rsid w:val="00706CA3"/>
    <w:rsid w:val="00707E23"/>
    <w:rsid w:val="00712F40"/>
    <w:rsid w:val="00717092"/>
    <w:rsid w:val="00717726"/>
    <w:rsid w:val="0073729D"/>
    <w:rsid w:val="007378C1"/>
    <w:rsid w:val="00750830"/>
    <w:rsid w:val="00756697"/>
    <w:rsid w:val="007711EF"/>
    <w:rsid w:val="00772C3A"/>
    <w:rsid w:val="00772EED"/>
    <w:rsid w:val="00772FB9"/>
    <w:rsid w:val="0077343F"/>
    <w:rsid w:val="007736FC"/>
    <w:rsid w:val="00780205"/>
    <w:rsid w:val="00783483"/>
    <w:rsid w:val="00783F83"/>
    <w:rsid w:val="0079016E"/>
    <w:rsid w:val="007922BB"/>
    <w:rsid w:val="00793E2C"/>
    <w:rsid w:val="007A00F1"/>
    <w:rsid w:val="007A47BE"/>
    <w:rsid w:val="007B02C8"/>
    <w:rsid w:val="007C2E7F"/>
    <w:rsid w:val="007C750F"/>
    <w:rsid w:val="007D7FCA"/>
    <w:rsid w:val="007E4536"/>
    <w:rsid w:val="007F0EFE"/>
    <w:rsid w:val="007F7038"/>
    <w:rsid w:val="0080097D"/>
    <w:rsid w:val="00806D2F"/>
    <w:rsid w:val="00810659"/>
    <w:rsid w:val="00810935"/>
    <w:rsid w:val="00810AFA"/>
    <w:rsid w:val="008114C3"/>
    <w:rsid w:val="00811510"/>
    <w:rsid w:val="00830A04"/>
    <w:rsid w:val="008311C9"/>
    <w:rsid w:val="008350F0"/>
    <w:rsid w:val="00837439"/>
    <w:rsid w:val="00840DD8"/>
    <w:rsid w:val="0085075E"/>
    <w:rsid w:val="00866476"/>
    <w:rsid w:val="00866797"/>
    <w:rsid w:val="00866B1A"/>
    <w:rsid w:val="00871FAE"/>
    <w:rsid w:val="008805DD"/>
    <w:rsid w:val="0088317F"/>
    <w:rsid w:val="008853F7"/>
    <w:rsid w:val="00885ED0"/>
    <w:rsid w:val="00892A16"/>
    <w:rsid w:val="008930C0"/>
    <w:rsid w:val="008A259E"/>
    <w:rsid w:val="008A6BC4"/>
    <w:rsid w:val="008B7F32"/>
    <w:rsid w:val="008C0421"/>
    <w:rsid w:val="008D21F4"/>
    <w:rsid w:val="008D7993"/>
    <w:rsid w:val="008F319F"/>
    <w:rsid w:val="00911270"/>
    <w:rsid w:val="009124E0"/>
    <w:rsid w:val="00912CF4"/>
    <w:rsid w:val="00915DC2"/>
    <w:rsid w:val="00916792"/>
    <w:rsid w:val="00922C41"/>
    <w:rsid w:val="009230BD"/>
    <w:rsid w:val="00925F4B"/>
    <w:rsid w:val="009301ED"/>
    <w:rsid w:val="00930FA8"/>
    <w:rsid w:val="00934794"/>
    <w:rsid w:val="00936706"/>
    <w:rsid w:val="00936EBD"/>
    <w:rsid w:val="009376EC"/>
    <w:rsid w:val="0094576A"/>
    <w:rsid w:val="00960A90"/>
    <w:rsid w:val="00970E92"/>
    <w:rsid w:val="00972679"/>
    <w:rsid w:val="009726D5"/>
    <w:rsid w:val="0098493D"/>
    <w:rsid w:val="009925C6"/>
    <w:rsid w:val="009927DB"/>
    <w:rsid w:val="00997FB5"/>
    <w:rsid w:val="009A3D53"/>
    <w:rsid w:val="009A4CA2"/>
    <w:rsid w:val="009B0467"/>
    <w:rsid w:val="009B579B"/>
    <w:rsid w:val="009C039B"/>
    <w:rsid w:val="009C7401"/>
    <w:rsid w:val="009C7D01"/>
    <w:rsid w:val="009D7AFB"/>
    <w:rsid w:val="009F699E"/>
    <w:rsid w:val="00A03AD5"/>
    <w:rsid w:val="00A30CCE"/>
    <w:rsid w:val="00A33F82"/>
    <w:rsid w:val="00A42D5D"/>
    <w:rsid w:val="00A51BD5"/>
    <w:rsid w:val="00A607D9"/>
    <w:rsid w:val="00A60886"/>
    <w:rsid w:val="00A64F26"/>
    <w:rsid w:val="00A7220F"/>
    <w:rsid w:val="00A760A6"/>
    <w:rsid w:val="00A761A5"/>
    <w:rsid w:val="00A80732"/>
    <w:rsid w:val="00A8170E"/>
    <w:rsid w:val="00A82A7C"/>
    <w:rsid w:val="00A85FEB"/>
    <w:rsid w:val="00A87DCB"/>
    <w:rsid w:val="00A904ED"/>
    <w:rsid w:val="00A95663"/>
    <w:rsid w:val="00AA0033"/>
    <w:rsid w:val="00AA3E63"/>
    <w:rsid w:val="00AA5C7E"/>
    <w:rsid w:val="00AB1084"/>
    <w:rsid w:val="00AB1AF2"/>
    <w:rsid w:val="00AB667C"/>
    <w:rsid w:val="00AD139E"/>
    <w:rsid w:val="00AD58BB"/>
    <w:rsid w:val="00AE7153"/>
    <w:rsid w:val="00AF0A5C"/>
    <w:rsid w:val="00AF2212"/>
    <w:rsid w:val="00AF302A"/>
    <w:rsid w:val="00AF32EE"/>
    <w:rsid w:val="00B1282D"/>
    <w:rsid w:val="00B1724B"/>
    <w:rsid w:val="00B17350"/>
    <w:rsid w:val="00B21E21"/>
    <w:rsid w:val="00B279CD"/>
    <w:rsid w:val="00B32EDC"/>
    <w:rsid w:val="00B415F3"/>
    <w:rsid w:val="00B417E9"/>
    <w:rsid w:val="00B4182D"/>
    <w:rsid w:val="00B5022A"/>
    <w:rsid w:val="00B55619"/>
    <w:rsid w:val="00B704A0"/>
    <w:rsid w:val="00B746D3"/>
    <w:rsid w:val="00B767DB"/>
    <w:rsid w:val="00B77FB7"/>
    <w:rsid w:val="00B835BE"/>
    <w:rsid w:val="00B84250"/>
    <w:rsid w:val="00B8558C"/>
    <w:rsid w:val="00B94919"/>
    <w:rsid w:val="00BA52BF"/>
    <w:rsid w:val="00BB18B8"/>
    <w:rsid w:val="00BB6C27"/>
    <w:rsid w:val="00BC1BE0"/>
    <w:rsid w:val="00BC570B"/>
    <w:rsid w:val="00BC7CBE"/>
    <w:rsid w:val="00BD00DF"/>
    <w:rsid w:val="00BD1928"/>
    <w:rsid w:val="00BD4436"/>
    <w:rsid w:val="00BE096E"/>
    <w:rsid w:val="00BE312E"/>
    <w:rsid w:val="00BE4EFE"/>
    <w:rsid w:val="00BF1EE1"/>
    <w:rsid w:val="00BF5A29"/>
    <w:rsid w:val="00BF7480"/>
    <w:rsid w:val="00BF7C69"/>
    <w:rsid w:val="00C00CC9"/>
    <w:rsid w:val="00C14D1D"/>
    <w:rsid w:val="00C15F38"/>
    <w:rsid w:val="00C17CC0"/>
    <w:rsid w:val="00C20905"/>
    <w:rsid w:val="00C25889"/>
    <w:rsid w:val="00C2671D"/>
    <w:rsid w:val="00C30CB7"/>
    <w:rsid w:val="00C566E0"/>
    <w:rsid w:val="00C620DE"/>
    <w:rsid w:val="00C624B5"/>
    <w:rsid w:val="00C6451E"/>
    <w:rsid w:val="00C66DDA"/>
    <w:rsid w:val="00C67C25"/>
    <w:rsid w:val="00C7253B"/>
    <w:rsid w:val="00C745E6"/>
    <w:rsid w:val="00C83552"/>
    <w:rsid w:val="00C84737"/>
    <w:rsid w:val="00C91B29"/>
    <w:rsid w:val="00C921E2"/>
    <w:rsid w:val="00CA260C"/>
    <w:rsid w:val="00CB1992"/>
    <w:rsid w:val="00CB4A00"/>
    <w:rsid w:val="00CB7A47"/>
    <w:rsid w:val="00CC1F67"/>
    <w:rsid w:val="00CC653C"/>
    <w:rsid w:val="00CC754E"/>
    <w:rsid w:val="00CD5730"/>
    <w:rsid w:val="00CE0230"/>
    <w:rsid w:val="00CE5826"/>
    <w:rsid w:val="00CE5D48"/>
    <w:rsid w:val="00CE7900"/>
    <w:rsid w:val="00CF4CBD"/>
    <w:rsid w:val="00CF585C"/>
    <w:rsid w:val="00CF6188"/>
    <w:rsid w:val="00D05123"/>
    <w:rsid w:val="00D07E79"/>
    <w:rsid w:val="00D2436E"/>
    <w:rsid w:val="00D27C3E"/>
    <w:rsid w:val="00D37A74"/>
    <w:rsid w:val="00D559A6"/>
    <w:rsid w:val="00D66FAC"/>
    <w:rsid w:val="00D77601"/>
    <w:rsid w:val="00D8488D"/>
    <w:rsid w:val="00D84F24"/>
    <w:rsid w:val="00D91543"/>
    <w:rsid w:val="00D95FBF"/>
    <w:rsid w:val="00DA0E1B"/>
    <w:rsid w:val="00DA23EF"/>
    <w:rsid w:val="00DB1034"/>
    <w:rsid w:val="00DC1194"/>
    <w:rsid w:val="00DC70A7"/>
    <w:rsid w:val="00DC7AB3"/>
    <w:rsid w:val="00DD1FA0"/>
    <w:rsid w:val="00DD2D60"/>
    <w:rsid w:val="00DD7844"/>
    <w:rsid w:val="00DE1504"/>
    <w:rsid w:val="00DE388E"/>
    <w:rsid w:val="00DF66AC"/>
    <w:rsid w:val="00E02CEF"/>
    <w:rsid w:val="00E02F97"/>
    <w:rsid w:val="00E11672"/>
    <w:rsid w:val="00E1386C"/>
    <w:rsid w:val="00E20214"/>
    <w:rsid w:val="00E20907"/>
    <w:rsid w:val="00E22E12"/>
    <w:rsid w:val="00E2584C"/>
    <w:rsid w:val="00E35CC4"/>
    <w:rsid w:val="00E44A83"/>
    <w:rsid w:val="00E452C6"/>
    <w:rsid w:val="00E476B5"/>
    <w:rsid w:val="00E50FBC"/>
    <w:rsid w:val="00E53F2F"/>
    <w:rsid w:val="00E57E5E"/>
    <w:rsid w:val="00E80684"/>
    <w:rsid w:val="00E81698"/>
    <w:rsid w:val="00E8235A"/>
    <w:rsid w:val="00E83539"/>
    <w:rsid w:val="00E83F28"/>
    <w:rsid w:val="00E934F6"/>
    <w:rsid w:val="00E969D1"/>
    <w:rsid w:val="00E979A2"/>
    <w:rsid w:val="00EA3BD4"/>
    <w:rsid w:val="00EB00CE"/>
    <w:rsid w:val="00EB6D30"/>
    <w:rsid w:val="00ED088B"/>
    <w:rsid w:val="00ED188B"/>
    <w:rsid w:val="00ED64B7"/>
    <w:rsid w:val="00EE231D"/>
    <w:rsid w:val="00EE3EBA"/>
    <w:rsid w:val="00EE60F4"/>
    <w:rsid w:val="00EE784F"/>
    <w:rsid w:val="00EF2AFF"/>
    <w:rsid w:val="00EF78C0"/>
    <w:rsid w:val="00F02232"/>
    <w:rsid w:val="00F04D45"/>
    <w:rsid w:val="00F059A3"/>
    <w:rsid w:val="00F13B8A"/>
    <w:rsid w:val="00F213ED"/>
    <w:rsid w:val="00F33DA4"/>
    <w:rsid w:val="00F368A4"/>
    <w:rsid w:val="00F40FF8"/>
    <w:rsid w:val="00F46144"/>
    <w:rsid w:val="00F54C33"/>
    <w:rsid w:val="00F562E5"/>
    <w:rsid w:val="00F56D1B"/>
    <w:rsid w:val="00F765C2"/>
    <w:rsid w:val="00F83870"/>
    <w:rsid w:val="00F83C83"/>
    <w:rsid w:val="00FA1897"/>
    <w:rsid w:val="00FA1BCC"/>
    <w:rsid w:val="00FA22FC"/>
    <w:rsid w:val="00FA43AA"/>
    <w:rsid w:val="00FA5BB7"/>
    <w:rsid w:val="00FA6208"/>
    <w:rsid w:val="00FA75EF"/>
    <w:rsid w:val="00FB2107"/>
    <w:rsid w:val="00FB69A3"/>
    <w:rsid w:val="00FC60F6"/>
    <w:rsid w:val="00FD4982"/>
    <w:rsid w:val="00FE17A8"/>
    <w:rsid w:val="00FF2AAF"/>
    <w:rsid w:val="00FF7E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CDFA"/>
  <w15:chartTrackingRefBased/>
  <w15:docId w15:val="{F0DC780B-0964-4834-94F9-7FB396A31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0EFE"/>
    <w:pPr>
      <w:spacing w:after="0" w:line="360" w:lineRule="auto"/>
      <w:ind w:firstLine="709"/>
      <w:contextualSpacing/>
      <w:jc w:val="both"/>
    </w:pPr>
    <w:rPr>
      <w:rFonts w:ascii="Times New Roman" w:hAnsi="Times New Roman"/>
      <w:sz w:val="28"/>
    </w:rPr>
  </w:style>
  <w:style w:type="paragraph" w:styleId="1">
    <w:name w:val="heading 1"/>
    <w:basedOn w:val="a"/>
    <w:next w:val="a"/>
    <w:link w:val="10"/>
    <w:uiPriority w:val="9"/>
    <w:qFormat/>
    <w:rsid w:val="003E0A8B"/>
    <w:pPr>
      <w:ind w:firstLine="0"/>
      <w:jc w:val="center"/>
      <w:outlineLvl w:val="0"/>
    </w:pPr>
    <w:rPr>
      <w:b/>
      <w:bCs/>
    </w:rPr>
  </w:style>
  <w:style w:type="paragraph" w:styleId="2">
    <w:name w:val="heading 2"/>
    <w:basedOn w:val="a"/>
    <w:next w:val="a"/>
    <w:link w:val="20"/>
    <w:uiPriority w:val="9"/>
    <w:unhideWhenUsed/>
    <w:qFormat/>
    <w:rsid w:val="006C298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7E79"/>
    <w:pPr>
      <w:tabs>
        <w:tab w:val="center" w:pos="4677"/>
        <w:tab w:val="right" w:pos="9355"/>
      </w:tabs>
      <w:spacing w:line="240" w:lineRule="auto"/>
    </w:pPr>
  </w:style>
  <w:style w:type="character" w:customStyle="1" w:styleId="a4">
    <w:name w:val="Верхний колонтитул Знак"/>
    <w:basedOn w:val="a0"/>
    <w:link w:val="a3"/>
    <w:uiPriority w:val="99"/>
    <w:rsid w:val="00D07E79"/>
  </w:style>
  <w:style w:type="paragraph" w:styleId="a5">
    <w:name w:val="footer"/>
    <w:basedOn w:val="a"/>
    <w:link w:val="a6"/>
    <w:uiPriority w:val="99"/>
    <w:unhideWhenUsed/>
    <w:rsid w:val="00D07E79"/>
    <w:pPr>
      <w:tabs>
        <w:tab w:val="center" w:pos="4677"/>
        <w:tab w:val="right" w:pos="9355"/>
      </w:tabs>
      <w:spacing w:line="240" w:lineRule="auto"/>
    </w:pPr>
  </w:style>
  <w:style w:type="character" w:customStyle="1" w:styleId="a6">
    <w:name w:val="Нижний колонтитул Знак"/>
    <w:basedOn w:val="a0"/>
    <w:link w:val="a5"/>
    <w:uiPriority w:val="99"/>
    <w:rsid w:val="00D07E79"/>
  </w:style>
  <w:style w:type="character" w:customStyle="1" w:styleId="10">
    <w:name w:val="Заголовок 1 Знак"/>
    <w:basedOn w:val="a0"/>
    <w:link w:val="1"/>
    <w:uiPriority w:val="9"/>
    <w:rsid w:val="003E0A8B"/>
    <w:rPr>
      <w:rFonts w:ascii="Times New Roman" w:hAnsi="Times New Roman"/>
      <w:b/>
      <w:bCs/>
      <w:sz w:val="28"/>
    </w:rPr>
  </w:style>
  <w:style w:type="paragraph" w:styleId="a7">
    <w:name w:val="List Paragraph"/>
    <w:basedOn w:val="a"/>
    <w:uiPriority w:val="34"/>
    <w:qFormat/>
    <w:rsid w:val="00FF2AAF"/>
    <w:pPr>
      <w:ind w:left="720"/>
    </w:pPr>
  </w:style>
  <w:style w:type="paragraph" w:styleId="a8">
    <w:name w:val="TOC Heading"/>
    <w:basedOn w:val="1"/>
    <w:next w:val="a"/>
    <w:uiPriority w:val="39"/>
    <w:unhideWhenUsed/>
    <w:qFormat/>
    <w:rsid w:val="00B21E21"/>
    <w:pPr>
      <w:keepNext/>
      <w:keepLines/>
      <w:spacing w:before="240" w:line="259" w:lineRule="auto"/>
      <w:contextualSpacing w:val="0"/>
      <w:jc w:val="left"/>
      <w:outlineLvl w:val="9"/>
    </w:pPr>
    <w:rPr>
      <w:rFonts w:asciiTheme="majorHAnsi" w:eastAsiaTheme="majorEastAsia" w:hAnsiTheme="majorHAnsi" w:cstheme="majorBidi"/>
      <w:b w:val="0"/>
      <w:bCs w:val="0"/>
      <w:caps/>
      <w:color w:val="2F5496" w:themeColor="accent1" w:themeShade="BF"/>
      <w:sz w:val="32"/>
      <w:szCs w:val="32"/>
      <w:lang w:eastAsia="ru-RU"/>
    </w:rPr>
  </w:style>
  <w:style w:type="paragraph" w:styleId="11">
    <w:name w:val="toc 1"/>
    <w:basedOn w:val="a"/>
    <w:next w:val="a"/>
    <w:link w:val="12"/>
    <w:autoRedefine/>
    <w:uiPriority w:val="39"/>
    <w:unhideWhenUsed/>
    <w:rsid w:val="00B21E21"/>
    <w:pPr>
      <w:spacing w:after="100"/>
    </w:pPr>
  </w:style>
  <w:style w:type="character" w:styleId="a9">
    <w:name w:val="Hyperlink"/>
    <w:basedOn w:val="a0"/>
    <w:uiPriority w:val="99"/>
    <w:unhideWhenUsed/>
    <w:rsid w:val="00B21E21"/>
    <w:rPr>
      <w:color w:val="0563C1" w:themeColor="hyperlink"/>
      <w:u w:val="single"/>
    </w:rPr>
  </w:style>
  <w:style w:type="paragraph" w:customStyle="1" w:styleId="aa">
    <w:name w:val="Содержание"/>
    <w:basedOn w:val="11"/>
    <w:link w:val="ab"/>
    <w:qFormat/>
    <w:rsid w:val="00E81698"/>
    <w:pPr>
      <w:tabs>
        <w:tab w:val="right" w:leader="dot" w:pos="9345"/>
      </w:tabs>
      <w:ind w:firstLine="0"/>
    </w:pPr>
  </w:style>
  <w:style w:type="character" w:styleId="ac">
    <w:name w:val="Placeholder Text"/>
    <w:basedOn w:val="a0"/>
    <w:uiPriority w:val="99"/>
    <w:semiHidden/>
    <w:rsid w:val="00912CF4"/>
    <w:rPr>
      <w:color w:val="808080"/>
    </w:rPr>
  </w:style>
  <w:style w:type="character" w:customStyle="1" w:styleId="12">
    <w:name w:val="Оглавление 1 Знак"/>
    <w:basedOn w:val="a0"/>
    <w:link w:val="11"/>
    <w:uiPriority w:val="39"/>
    <w:rsid w:val="00E81698"/>
    <w:rPr>
      <w:rFonts w:ascii="Times New Roman" w:hAnsi="Times New Roman"/>
      <w:sz w:val="28"/>
    </w:rPr>
  </w:style>
  <w:style w:type="character" w:customStyle="1" w:styleId="ab">
    <w:name w:val="Содержание Знак"/>
    <w:basedOn w:val="12"/>
    <w:link w:val="aa"/>
    <w:rsid w:val="00E81698"/>
    <w:rPr>
      <w:rFonts w:ascii="Times New Roman" w:hAnsi="Times New Roman"/>
      <w:sz w:val="28"/>
    </w:rPr>
  </w:style>
  <w:style w:type="paragraph" w:customStyle="1" w:styleId="ad">
    <w:name w:val="Подпись рисунка"/>
    <w:basedOn w:val="a"/>
    <w:link w:val="ae"/>
    <w:qFormat/>
    <w:rsid w:val="00793E2C"/>
    <w:pPr>
      <w:ind w:firstLine="0"/>
      <w:jc w:val="center"/>
    </w:pPr>
  </w:style>
  <w:style w:type="character" w:customStyle="1" w:styleId="ae">
    <w:name w:val="Подпись рисунка Знак"/>
    <w:basedOn w:val="a0"/>
    <w:link w:val="ad"/>
    <w:rsid w:val="00793E2C"/>
    <w:rPr>
      <w:rFonts w:ascii="Times New Roman" w:hAnsi="Times New Roman"/>
      <w:sz w:val="28"/>
    </w:rPr>
  </w:style>
  <w:style w:type="character" w:customStyle="1" w:styleId="20">
    <w:name w:val="Заголовок 2 Знак"/>
    <w:basedOn w:val="a0"/>
    <w:link w:val="2"/>
    <w:uiPriority w:val="9"/>
    <w:rsid w:val="006C298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29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Бер88</b:Tag>
    <b:SourceType>JournalArticle</b:SourceType>
    <b:Guid>{2203F387-366A-4DBF-BFDA-249A7FF854AD}</b:Guid>
    <b:Title>Tokomaks</b:Title>
    <b:JournalName>PE</b:JournalName>
    <b:Year>1988</b:Year>
    <b:Pages>102-103</b:Pages>
    <b:Author>
      <b:Author>
        <b:NameList>
          <b:Person>
            <b:Last>Бернулли</b:Last>
          </b:Person>
        </b:NameList>
      </b:Author>
    </b:Author>
    <b:RefOrder>1</b:RefOrder>
  </b:Source>
</b:Sources>
</file>

<file path=customXml/itemProps1.xml><?xml version="1.0" encoding="utf-8"?>
<ds:datastoreItem xmlns:ds="http://schemas.openxmlformats.org/officeDocument/2006/customXml" ds:itemID="{C7C892C0-E285-4FD0-89BC-434F7302F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4</Pages>
  <Words>1474</Words>
  <Characters>8402</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Тимковский Георгий tgp001</dc:creator>
  <cp:keywords/>
  <dc:description/>
  <cp:lastModifiedBy>Тимковский Георгий tgp001</cp:lastModifiedBy>
  <cp:revision>504</cp:revision>
  <dcterms:created xsi:type="dcterms:W3CDTF">2021-11-07T13:17:00Z</dcterms:created>
  <dcterms:modified xsi:type="dcterms:W3CDTF">2021-11-22T11:42:00Z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http://www.zotero.org/styles/gost-r-7-0-5-2008-numeric</vt:lpwstr>
  </property>
  <property fmtid="{D5CDD505-2E9C-101B-9397-08002B2CF9AE}" pid="21" name="Mendeley Recent Style Name 9_1">
    <vt:lpwstr>Russian GOST R 7.0.5-2008 (numeric)</vt:lpwstr>
  </property>
  <property fmtid="{D5CDD505-2E9C-101B-9397-08002B2CF9AE}" pid="22" name="Mendeley Document_1">
    <vt:lpwstr>True</vt:lpwstr>
  </property>
  <property fmtid="{D5CDD505-2E9C-101B-9397-08002B2CF9AE}" pid="23" name="Mendeley Unique User Id_1">
    <vt:lpwstr>54356478-943d-3fa1-99f4-53ca5bf4eb85</vt:lpwstr>
  </property>
  <property fmtid="{D5CDD505-2E9C-101B-9397-08002B2CF9AE}" pid="24" name="Mendeley Citation Style_1">
    <vt:lpwstr>http://www.zotero.org/styles/gost-r-7-0-5-2008-numeric</vt:lpwstr>
  </property>
</Properties>
</file>