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C882" w14:textId="77777777" w:rsidR="006A06AD" w:rsidRPr="00813CE0" w:rsidRDefault="006A06AD" w:rsidP="00AA2BB2">
      <w:pPr>
        <w:autoSpaceDE w:val="0"/>
        <w:autoSpaceDN w:val="0"/>
        <w:adjustRightInd w:val="0"/>
        <w:jc w:val="center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BUSINESS CASE</w:t>
      </w:r>
    </w:p>
    <w:p w14:paraId="6605EFCD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0CCD7DBE" w14:textId="74633EC4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Nutr</w:t>
      </w:r>
      <w:r w:rsidR="004003EC" w:rsidRPr="00813CE0">
        <w:rPr>
          <w:rFonts w:cs="AppleSystemUIFont"/>
          <w:b/>
          <w:bCs/>
          <w:kern w:val="0"/>
          <w:lang w:val="en-US"/>
        </w:rPr>
        <w:t>Y</w:t>
      </w:r>
      <w:r w:rsidRPr="00813CE0">
        <w:rPr>
          <w:rFonts w:cs="AppleSystemUIFont"/>
          <w:b/>
          <w:bCs/>
          <w:kern w:val="0"/>
          <w:lang w:val="en-US"/>
        </w:rPr>
        <w:t>Well Laboratories</w:t>
      </w:r>
    </w:p>
    <w:p w14:paraId="425D9593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1B40010C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From Order-to-Delivery Pressure to Strategic Supply Chain Design</w:t>
      </w:r>
    </w:p>
    <w:p w14:paraId="0174D845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A99774D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1. Company Background</w:t>
      </w:r>
    </w:p>
    <w:p w14:paraId="6C82B391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6D2FAAF3" w14:textId="2850265E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 xml:space="preserve">Well Laboratories is a European company operating in the human nutritional supplements industry. The company </w:t>
      </w:r>
      <w:proofErr w:type="gramStart"/>
      <w:r w:rsidRPr="00813CE0">
        <w:rPr>
          <w:rFonts w:cs="AppleSystemUIFont"/>
          <w:kern w:val="0"/>
          <w:lang w:val="en-US"/>
        </w:rPr>
        <w:t>develops,</w:t>
      </w:r>
      <w:proofErr w:type="gramEnd"/>
      <w:r w:rsidRPr="00813CE0">
        <w:rPr>
          <w:rFonts w:cs="AppleSystemUIFont"/>
          <w:kern w:val="0"/>
          <w:lang w:val="en-US"/>
        </w:rPr>
        <w:t xml:space="preserve"> markets, and distributes vitamins, probiotics, immunity boosters, and performance-oriented nutritional products.</w:t>
      </w:r>
    </w:p>
    <w:p w14:paraId="58BE0E0F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0E2E30F1" w14:textId="1B66BEA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Over the past five years,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 has experienced strong commercial growth, driven by:</w:t>
      </w:r>
    </w:p>
    <w:p w14:paraId="1D1838B6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Expansion in pharmacy retail networks</w:t>
      </w:r>
    </w:p>
    <w:p w14:paraId="45446992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Rapid development of its e-commerce channel</w:t>
      </w:r>
    </w:p>
    <w:p w14:paraId="6C92DC81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Increasing consumer demand for preventive health products</w:t>
      </w:r>
    </w:p>
    <w:p w14:paraId="5922323B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0FEDD488" w14:textId="43DC5BE2" w:rsidR="006A06AD" w:rsidRPr="00813CE0" w:rsidRDefault="00813CE0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To</w:t>
      </w:r>
      <w:r w:rsidR="006A06AD" w:rsidRPr="00813CE0">
        <w:rPr>
          <w:rFonts w:cs="AppleSystemUIFont"/>
          <w:kern w:val="0"/>
          <w:lang w:val="en-US"/>
        </w:rPr>
        <w:t xml:space="preserve"> strengthen its value proposition and accelerate portfolio expansion, Nutr</w:t>
      </w:r>
      <w:r w:rsidR="004003EC" w:rsidRPr="00813CE0">
        <w:rPr>
          <w:rFonts w:cs="AppleSystemUIFont"/>
          <w:kern w:val="0"/>
          <w:lang w:val="en-US"/>
        </w:rPr>
        <w:t>Y</w:t>
      </w:r>
      <w:r w:rsidR="006A06AD" w:rsidRPr="00813CE0">
        <w:rPr>
          <w:rFonts w:cs="AppleSystemUIFont"/>
          <w:kern w:val="0"/>
          <w:lang w:val="en-US"/>
        </w:rPr>
        <w:t xml:space="preserve">Well recently acquired a non-core activity from a large international group primarily </w:t>
      </w:r>
      <w:proofErr w:type="gramStart"/>
      <w:r w:rsidR="006A06AD" w:rsidRPr="00813CE0">
        <w:rPr>
          <w:rFonts w:cs="AppleSystemUIFont"/>
          <w:kern w:val="0"/>
          <w:lang w:val="en-US"/>
        </w:rPr>
        <w:t>specialized</w:t>
      </w:r>
      <w:proofErr w:type="gramEnd"/>
      <w:r w:rsidR="006A06AD" w:rsidRPr="00813CE0">
        <w:rPr>
          <w:rFonts w:cs="AppleSystemUIFont"/>
          <w:kern w:val="0"/>
          <w:lang w:val="en-US"/>
        </w:rPr>
        <w:t xml:space="preserve"> in sports accessories and equipment.</w:t>
      </w:r>
    </w:p>
    <w:p w14:paraId="31FF29BE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4F12AAD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This parent group decided to refocus on its core business (sports apparel and accessories) and divest its nutritional supplements activity.</w:t>
      </w:r>
    </w:p>
    <w:p w14:paraId="52FF01B8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1BF1C5A4" w14:textId="69D84B3C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For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Well, this acquisition represented a strategic opportunity to:</w:t>
      </w:r>
    </w:p>
    <w:p w14:paraId="2537D73B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Complement its existing portfolio with performance-oriented products</w:t>
      </w:r>
    </w:p>
    <w:p w14:paraId="6A48C42E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Access a new customer base</w:t>
      </w:r>
    </w:p>
    <w:p w14:paraId="049AF913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Accelerate its presence in the sports nutrition segment</w:t>
      </w:r>
    </w:p>
    <w:p w14:paraId="4851F1A5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0AB01312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acquisition includes:</w:t>
      </w:r>
    </w:p>
    <w:p w14:paraId="1FD861FF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full product portfolio of the divested activity</w:t>
      </w:r>
    </w:p>
    <w:p w14:paraId="4B343FEA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production capabilities associated with these products</w:t>
      </w:r>
    </w:p>
    <w:p w14:paraId="2E84CA67" w14:textId="77777777" w:rsidR="006A06AD" w:rsidRPr="00813CE0" w:rsidRDefault="006A06AD" w:rsidP="002F44A0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entire client portfolio linked to this activity</w:t>
      </w:r>
    </w:p>
    <w:p w14:paraId="37559574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69535A48" w14:textId="37E58859" w:rsidR="006A06AD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 xml:space="preserve">However, prior to the acquisition, </w:t>
      </w:r>
      <w:r w:rsidR="009E7A4D" w:rsidRPr="00813CE0">
        <w:rPr>
          <w:rFonts w:cs="AppleSystemUIFont"/>
          <w:kern w:val="0"/>
          <w:lang w:val="en-US"/>
        </w:rPr>
        <w:t>nutritional</w:t>
      </w:r>
      <w:r w:rsidRPr="00813CE0">
        <w:rPr>
          <w:rFonts w:cs="AppleSystemUIFont"/>
          <w:kern w:val="0"/>
          <w:lang w:val="en-US"/>
        </w:rPr>
        <w:t xml:space="preserve"> products were distributed using the parent group’s established logistics and distribution network.</w:t>
      </w:r>
    </w:p>
    <w:p w14:paraId="1A409269" w14:textId="77777777" w:rsidR="009E7A4D" w:rsidRPr="00813CE0" w:rsidRDefault="009E7A4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597DD33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5E0DEB55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2. Transitional Phase</w:t>
      </w:r>
    </w:p>
    <w:p w14:paraId="5709F4D1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3401E712" w14:textId="70AE8BAF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Following the acquisition,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 entered into a transitional service agreement (TSA) with the divesting group.</w:t>
      </w:r>
    </w:p>
    <w:p w14:paraId="480A5BA8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506B05C3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During this transition period:</w:t>
      </w:r>
    </w:p>
    <w:p w14:paraId="34C8D97D" w14:textId="53D2AFE7" w:rsidR="006A06AD" w:rsidRPr="00813CE0" w:rsidRDefault="006A06AD" w:rsidP="002F44A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lastRenderedPageBreak/>
        <w:t>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 temporarily continues to use the former parent company’s distribution network</w:t>
      </w:r>
    </w:p>
    <w:p w14:paraId="184C6D79" w14:textId="77777777" w:rsidR="006A06AD" w:rsidRPr="00813CE0" w:rsidRDefault="006A06AD" w:rsidP="002F44A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Warehousing and transportation flows remain partially operated through the legacy network</w:t>
      </w:r>
    </w:p>
    <w:p w14:paraId="4710855C" w14:textId="77777777" w:rsidR="006A06AD" w:rsidRPr="00813CE0" w:rsidRDefault="006A06AD" w:rsidP="002F44A0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Information systems and order processing interfaces remain partly separated</w:t>
      </w:r>
    </w:p>
    <w:p w14:paraId="5FD9026C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33EC792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This transitional setup was designed to ensure business continuity and avoid disruption to customers.</w:t>
      </w:r>
    </w:p>
    <w:p w14:paraId="3A7AF9D1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1ACE8F3C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However, this temporary configuration creates several structural challenges:</w:t>
      </w:r>
    </w:p>
    <w:p w14:paraId="0159AF24" w14:textId="77777777" w:rsidR="006A06AD" w:rsidRPr="00813CE0" w:rsidRDefault="006A06AD" w:rsidP="002F44A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Dual distribution logic</w:t>
      </w:r>
    </w:p>
    <w:p w14:paraId="68A0B059" w14:textId="77777777" w:rsidR="006A06AD" w:rsidRPr="00813CE0" w:rsidRDefault="006A06AD" w:rsidP="002F44A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Limited end-to-end visibility</w:t>
      </w:r>
    </w:p>
    <w:p w14:paraId="779A2FFB" w14:textId="77777777" w:rsidR="006A06AD" w:rsidRPr="00813CE0" w:rsidRDefault="006A06AD" w:rsidP="002F44A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Complex allocation rules</w:t>
      </w:r>
    </w:p>
    <w:p w14:paraId="712F99D4" w14:textId="21C0024D" w:rsidR="006A06AD" w:rsidRPr="00813CE0" w:rsidRDefault="006A06AD" w:rsidP="002F44A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 xml:space="preserve">Dependence on external logistics processes </w:t>
      </w:r>
      <w:r w:rsidR="009E7A4D" w:rsidRPr="00813CE0">
        <w:rPr>
          <w:rFonts w:cs="AppleSystemUIFont"/>
          <w:kern w:val="0"/>
          <w:lang w:val="en-US"/>
        </w:rPr>
        <w:t>is not</w:t>
      </w:r>
      <w:r w:rsidRPr="00813CE0">
        <w:rPr>
          <w:rFonts w:cs="AppleSystemUIFont"/>
          <w:kern w:val="0"/>
          <w:lang w:val="en-US"/>
        </w:rPr>
        <w:t xml:space="preserve"> fully controlled by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</w:t>
      </w:r>
    </w:p>
    <w:p w14:paraId="4A2D5E90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4991A097" w14:textId="727A141D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transition period is contractually limited and will end within a defined timeframe, requiring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 to progressively internalize or redesign its distribution model.</w:t>
      </w:r>
    </w:p>
    <w:p w14:paraId="72CA985E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61445458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0133CA4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3. Current Situation</w:t>
      </w:r>
    </w:p>
    <w:p w14:paraId="1D0A33A6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B6C3981" w14:textId="3801929A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Despite sustained market demand and strong commercial momentum,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 is experiencing increasing pressure across its operations.</w:t>
      </w:r>
    </w:p>
    <w:p w14:paraId="71E6C74D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3D78D314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Over the past twelve months, performance reviews have revealed a widening gap between growth ambitions and execution outcomes. While overall activity levels remain high, delivery reliability and planning stability appear more difficult to maintain in a consistent and predictable manner.</w:t>
      </w:r>
    </w:p>
    <w:p w14:paraId="5F4674B7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CF87124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Several indicators suggest emerging tensions within the Order-to-Delivery process, including fluctuations in service performance, variability in product availability, and a growing need for short-term operational adjustments.</w:t>
      </w:r>
    </w:p>
    <w:p w14:paraId="521931B1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B94354F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At the same time, operational teams at warehouse and transport level continue to demonstrate strong execution discipline and responsiveness. Day-to-day issues are frequently resolved through close coordination and significant additional effort.</w:t>
      </w:r>
    </w:p>
    <w:p w14:paraId="6FCDE1A7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4856A839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However, this reliance on reactive adjustments and operational intensity raises a fundamental question regarding the long-term robustness and scalability of the current operating model.</w:t>
      </w:r>
    </w:p>
    <w:p w14:paraId="19A46407" w14:textId="4C9198CD" w:rsidR="006A06AD" w:rsidRDefault="006A06AD" w:rsidP="002F44A0">
      <w:pPr>
        <w:autoSpaceDE w:val="0"/>
        <w:autoSpaceDN w:val="0"/>
        <w:adjustRightInd w:val="0"/>
        <w:jc w:val="both"/>
        <w:rPr>
          <w:rFonts w:cs="AppleSystemUIFont"/>
          <w:b/>
          <w:bCs/>
          <w:kern w:val="0"/>
          <w:lang w:val="en-US"/>
        </w:rPr>
      </w:pPr>
    </w:p>
    <w:p w14:paraId="7512D161" w14:textId="77777777" w:rsidR="009E7A4D" w:rsidRDefault="009E7A4D" w:rsidP="002F44A0">
      <w:pPr>
        <w:autoSpaceDE w:val="0"/>
        <w:autoSpaceDN w:val="0"/>
        <w:adjustRightInd w:val="0"/>
        <w:jc w:val="both"/>
        <w:rPr>
          <w:rFonts w:cs="AppleSystemUIFont"/>
          <w:b/>
          <w:bCs/>
          <w:kern w:val="0"/>
          <w:lang w:val="en-US"/>
        </w:rPr>
      </w:pPr>
    </w:p>
    <w:p w14:paraId="46CD1E26" w14:textId="77777777" w:rsidR="009E7A4D" w:rsidRPr="00813CE0" w:rsidRDefault="009E7A4D" w:rsidP="002F44A0">
      <w:pPr>
        <w:autoSpaceDE w:val="0"/>
        <w:autoSpaceDN w:val="0"/>
        <w:adjustRightInd w:val="0"/>
        <w:jc w:val="both"/>
        <w:rPr>
          <w:rFonts w:cs="AppleSystemUIFont"/>
          <w:b/>
          <w:bCs/>
          <w:kern w:val="0"/>
          <w:lang w:val="en-US"/>
        </w:rPr>
      </w:pPr>
    </w:p>
    <w:p w14:paraId="2AF1B81B" w14:textId="77777777" w:rsidR="001E4FED" w:rsidRPr="00813CE0" w:rsidRDefault="001E4FE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0E756616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lastRenderedPageBreak/>
        <w:t>4. Structural Complexity After the Acquisition</w:t>
      </w:r>
    </w:p>
    <w:p w14:paraId="48DA1689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19F569D" w14:textId="5BF8B0DD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recent acquisition has significantly increased the structural complexity of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Well’s operations.</w:t>
      </w:r>
    </w:p>
    <w:p w14:paraId="08CAC4DE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65EF277A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While business continuity has been maintained, early observations suggest that the company is now operating in a more diversified and demanding environment than before.</w:t>
      </w:r>
    </w:p>
    <w:p w14:paraId="22CA6151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49042CC7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This evolving context requires a careful assessment of:</w:t>
      </w:r>
    </w:p>
    <w:p w14:paraId="4036ABA7" w14:textId="0603C02F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nature and sources of operational complexity</w:t>
      </w:r>
    </w:p>
    <w:p w14:paraId="0C640BF3" w14:textId="73DBA2BF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degree of heterogeneity within the portfolio and customer base</w:t>
      </w:r>
    </w:p>
    <w:p w14:paraId="752B1A6D" w14:textId="165277FC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impact of integration choices on planning and execution</w:t>
      </w:r>
    </w:p>
    <w:p w14:paraId="11A1CDCC" w14:textId="3B981109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The sustainability of the current operating model</w:t>
      </w:r>
    </w:p>
    <w:p w14:paraId="0760CAE1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529E155E" w14:textId="2753BCF5" w:rsidR="006A06AD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Students are expected to identify, characterize, and measure the different dimensions of complexity affecting the Order-to-Delivery process, and assess whether the existing supply chain model is adequately adapted to this new context.</w:t>
      </w:r>
    </w:p>
    <w:p w14:paraId="041161DF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b/>
          <w:bCs/>
          <w:kern w:val="0"/>
          <w:lang w:val="en-US"/>
        </w:rPr>
      </w:pPr>
    </w:p>
    <w:p w14:paraId="252CC275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3FF069D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t>5. Observed Symptoms</w:t>
      </w:r>
    </w:p>
    <w:p w14:paraId="19ADA7C1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36094E30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Recent performance reviews and cross-functional discussions suggest recurring tensions within the Order-to-Delivery process.</w:t>
      </w:r>
    </w:p>
    <w:p w14:paraId="1E094E52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660E732F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 xml:space="preserve">While individual functions remain highly committed and operationally engaged, several patterns indicate that current performance levels may not be fully sustainable in </w:t>
      </w:r>
      <w:proofErr w:type="gramStart"/>
      <w:r w:rsidRPr="00813CE0">
        <w:rPr>
          <w:rFonts w:cs="AppleSystemUIFont"/>
          <w:kern w:val="0"/>
          <w:lang w:val="en-US"/>
        </w:rPr>
        <w:t>a context</w:t>
      </w:r>
      <w:proofErr w:type="gramEnd"/>
      <w:r w:rsidRPr="00813CE0">
        <w:rPr>
          <w:rFonts w:cs="AppleSystemUIFont"/>
          <w:kern w:val="0"/>
          <w:lang w:val="en-US"/>
        </w:rPr>
        <w:t xml:space="preserve"> of continued growth.</w:t>
      </w:r>
    </w:p>
    <w:p w14:paraId="5365B248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F7556AF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Preliminary observations point to:</w:t>
      </w:r>
    </w:p>
    <w:p w14:paraId="538B724E" w14:textId="3EE3159D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Increasing operational pressure across functions</w:t>
      </w:r>
    </w:p>
    <w:p w14:paraId="27AD0868" w14:textId="076FC51B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Frequent adjustments and escalations to secure delivery commitments</w:t>
      </w:r>
    </w:p>
    <w:p w14:paraId="3428511A" w14:textId="10E5CC84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 xml:space="preserve">Growing </w:t>
      </w:r>
      <w:proofErr w:type="gramStart"/>
      <w:r w:rsidRPr="00813CE0">
        <w:rPr>
          <w:rFonts w:cs="AppleSystemUIFont"/>
          <w:kern w:val="0"/>
          <w:lang w:val="en-US"/>
        </w:rPr>
        <w:t>interdependencies</w:t>
      </w:r>
      <w:proofErr w:type="gramEnd"/>
      <w:r w:rsidRPr="00813CE0">
        <w:rPr>
          <w:rFonts w:cs="AppleSystemUIFont"/>
          <w:kern w:val="0"/>
          <w:lang w:val="en-US"/>
        </w:rPr>
        <w:t xml:space="preserve"> between commercial decisions and operational constraints</w:t>
      </w:r>
    </w:p>
    <w:p w14:paraId="09BC2BB0" w14:textId="3FE0B304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Limited visibility beyond the short-term planning horizon</w:t>
      </w:r>
    </w:p>
    <w:p w14:paraId="12E4BF3B" w14:textId="6C45D366" w:rsidR="0043721E" w:rsidRPr="00813CE0" w:rsidRDefault="0043721E" w:rsidP="002F44A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A need to reassess the effectiveness of existing coordination mechanisms</w:t>
      </w:r>
    </w:p>
    <w:p w14:paraId="6C88E810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5B3B9F67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Execution teams are often required to absorb variability and resolve issues in real time, raising questions about the robustness of the current operating model.</w:t>
      </w:r>
    </w:p>
    <w:p w14:paraId="195F1A59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70827955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This situation invites deeper reflection:</w:t>
      </w:r>
    </w:p>
    <w:p w14:paraId="0854DBA9" w14:textId="6F6A926A" w:rsidR="006A06AD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Are the observed performance gaps primarily the result of isolated operational challenges, or do they reflect broader structural dynamics within 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>Well’s management system?</w:t>
      </w:r>
    </w:p>
    <w:p w14:paraId="6278658E" w14:textId="77777777" w:rsidR="009E7A4D" w:rsidRPr="00813CE0" w:rsidRDefault="009E7A4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173049A" w14:textId="77777777" w:rsidR="0043721E" w:rsidRPr="00813CE0" w:rsidRDefault="0043721E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3A7B9B1E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b/>
          <w:bCs/>
          <w:kern w:val="0"/>
          <w:lang w:val="en-US"/>
        </w:rPr>
        <w:lastRenderedPageBreak/>
        <w:t>6. The Challenge</w:t>
      </w:r>
    </w:p>
    <w:p w14:paraId="32FA94A2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5224D04F" w14:textId="50A981E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  <w:r w:rsidRPr="00813CE0">
        <w:rPr>
          <w:rFonts w:cs="AppleSystemUIFont"/>
          <w:kern w:val="0"/>
          <w:lang w:val="en-US"/>
        </w:rPr>
        <w:t>Nutr</w:t>
      </w:r>
      <w:r w:rsidR="004003EC" w:rsidRPr="00813CE0">
        <w:rPr>
          <w:rFonts w:cs="AppleSystemUIFont"/>
          <w:kern w:val="0"/>
          <w:lang w:val="en-US"/>
        </w:rPr>
        <w:t>Y</w:t>
      </w:r>
      <w:r w:rsidRPr="00813CE0">
        <w:rPr>
          <w:rFonts w:cs="AppleSystemUIFont"/>
          <w:kern w:val="0"/>
          <w:lang w:val="en-US"/>
        </w:rPr>
        <w:t xml:space="preserve">Well’s Executive Committee has mandated a cross-functional task force to conduct a structured diagnostic of the </w:t>
      </w:r>
      <w:r w:rsidR="0043721E" w:rsidRPr="00813CE0">
        <w:rPr>
          <w:rFonts w:cs="AppleSystemUIFont"/>
          <w:kern w:val="0"/>
          <w:lang w:val="en-US"/>
        </w:rPr>
        <w:t>o</w:t>
      </w:r>
      <w:r w:rsidRPr="00813CE0">
        <w:rPr>
          <w:rFonts w:cs="AppleSystemUIFont"/>
          <w:kern w:val="0"/>
          <w:lang w:val="en-US"/>
        </w:rPr>
        <w:t>rder-to-</w:t>
      </w:r>
      <w:r w:rsidR="0043721E" w:rsidRPr="00813CE0">
        <w:rPr>
          <w:rFonts w:cs="AppleSystemUIFont"/>
          <w:kern w:val="0"/>
          <w:lang w:val="en-US"/>
        </w:rPr>
        <w:t>d</w:t>
      </w:r>
      <w:r w:rsidRPr="00813CE0">
        <w:rPr>
          <w:rFonts w:cs="AppleSystemUIFont"/>
          <w:kern w:val="0"/>
          <w:lang w:val="en-US"/>
        </w:rPr>
        <w:t>elivery process.</w:t>
      </w:r>
      <w:r w:rsidR="002F44A0" w:rsidRPr="00813CE0">
        <w:rPr>
          <w:rFonts w:cs="AppleSystemUIFont"/>
          <w:kern w:val="0"/>
          <w:lang w:val="en-US"/>
        </w:rPr>
        <w:t xml:space="preserve"> With the end of the transitional agreement approaching, the company must determine whether incremental adjustments will be sufficient, or whether a more fundamental redesign of its operating model is required.</w:t>
      </w:r>
    </w:p>
    <w:p w14:paraId="69584F26" w14:textId="77777777" w:rsidR="006A06AD" w:rsidRPr="00813CE0" w:rsidRDefault="006A06AD" w:rsidP="002F44A0">
      <w:pPr>
        <w:autoSpaceDE w:val="0"/>
        <w:autoSpaceDN w:val="0"/>
        <w:adjustRightInd w:val="0"/>
        <w:jc w:val="both"/>
        <w:rPr>
          <w:rFonts w:cs="AppleSystemUIFont"/>
          <w:kern w:val="0"/>
          <w:lang w:val="en-US"/>
        </w:rPr>
      </w:pPr>
    </w:p>
    <w:p w14:paraId="27722668" w14:textId="77777777" w:rsidR="00245029" w:rsidRPr="00813CE0" w:rsidRDefault="00245029" w:rsidP="002F44A0">
      <w:pPr>
        <w:jc w:val="both"/>
        <w:rPr>
          <w:lang w:val="en-US"/>
        </w:rPr>
      </w:pPr>
    </w:p>
    <w:sectPr w:rsidR="00245029" w:rsidRPr="00813CE0" w:rsidSect="006A06AD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CD7760"/>
    <w:multiLevelType w:val="hybridMultilevel"/>
    <w:tmpl w:val="51A45EC2"/>
    <w:lvl w:ilvl="0" w:tplc="30965230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23B6B"/>
    <w:multiLevelType w:val="hybridMultilevel"/>
    <w:tmpl w:val="17EE79DA"/>
    <w:lvl w:ilvl="0" w:tplc="8D9050D2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23B26"/>
    <w:multiLevelType w:val="hybridMultilevel"/>
    <w:tmpl w:val="41C6B516"/>
    <w:lvl w:ilvl="0" w:tplc="A9E08718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344F8"/>
    <w:multiLevelType w:val="hybridMultilevel"/>
    <w:tmpl w:val="F8F2025C"/>
    <w:lvl w:ilvl="0" w:tplc="AA4212E4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280745">
    <w:abstractNumId w:val="2"/>
  </w:num>
  <w:num w:numId="2" w16cid:durableId="1959100243">
    <w:abstractNumId w:val="3"/>
  </w:num>
  <w:num w:numId="3" w16cid:durableId="1642156446">
    <w:abstractNumId w:val="4"/>
  </w:num>
  <w:num w:numId="4" w16cid:durableId="1862893103">
    <w:abstractNumId w:val="1"/>
  </w:num>
  <w:num w:numId="5" w16cid:durableId="80701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CF"/>
    <w:rsid w:val="00031528"/>
    <w:rsid w:val="000A660A"/>
    <w:rsid w:val="001511CF"/>
    <w:rsid w:val="00160714"/>
    <w:rsid w:val="001A3E4A"/>
    <w:rsid w:val="001E4FED"/>
    <w:rsid w:val="00245029"/>
    <w:rsid w:val="002F44A0"/>
    <w:rsid w:val="00397548"/>
    <w:rsid w:val="003C33BF"/>
    <w:rsid w:val="004003EC"/>
    <w:rsid w:val="0043721E"/>
    <w:rsid w:val="006A06AD"/>
    <w:rsid w:val="007B7DCE"/>
    <w:rsid w:val="00813CE0"/>
    <w:rsid w:val="009E7A4D"/>
    <w:rsid w:val="00AA2BB2"/>
    <w:rsid w:val="00BF4476"/>
    <w:rsid w:val="00C74FF2"/>
    <w:rsid w:val="00E4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536E"/>
  <w15:chartTrackingRefBased/>
  <w15:docId w15:val="{2E7C11ED-E957-4642-BC87-D1924D42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6AD"/>
  </w:style>
  <w:style w:type="paragraph" w:styleId="Titre1">
    <w:name w:val="heading 1"/>
    <w:basedOn w:val="Normal"/>
    <w:next w:val="Normal"/>
    <w:link w:val="Titre1Car"/>
    <w:uiPriority w:val="9"/>
    <w:qFormat/>
    <w:rsid w:val="0015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1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1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1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1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1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1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1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1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1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1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1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1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1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1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1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1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1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1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7A467FD3BE24CB82EFBE6871FD4E3" ma:contentTypeVersion="3" ma:contentTypeDescription="Crée un document." ma:contentTypeScope="" ma:versionID="1a5fd1c6b3ed7624e0925e21a1d833d4">
  <xsd:schema xmlns:xsd="http://www.w3.org/2001/XMLSchema" xmlns:xs="http://www.w3.org/2001/XMLSchema" xmlns:p="http://schemas.microsoft.com/office/2006/metadata/properties" xmlns:ns2="165e2d99-c8bf-4909-96a9-11c65280bb01" targetNamespace="http://schemas.microsoft.com/office/2006/metadata/properties" ma:root="true" ma:fieldsID="830bcf0d829e698b68938c37122a74c6" ns2:_="">
    <xsd:import namespace="165e2d99-c8bf-4909-96a9-11c65280bb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e2d99-c8bf-4909-96a9-11c65280bb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1CFBA1-1CCC-46D4-919A-58F93DF590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6304E4-9A64-4FD3-BD26-88D1041C7ABC}"/>
</file>

<file path=customXml/itemProps3.xml><?xml version="1.0" encoding="utf-8"?>
<ds:datastoreItem xmlns:ds="http://schemas.openxmlformats.org/officeDocument/2006/customXml" ds:itemID="{E86179C0-8152-4719-BFD9-EB13DDFD8293}"/>
</file>

<file path=customXml/itemProps4.xml><?xml version="1.0" encoding="utf-8"?>
<ds:datastoreItem xmlns:ds="http://schemas.openxmlformats.org/officeDocument/2006/customXml" ds:itemID="{CE52E117-1A93-4785-A5F8-4B0F19EE5F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Virassack Sisounol</dc:creator>
  <cp:keywords/>
  <dc:description/>
  <cp:lastModifiedBy>Vanessa Samzun</cp:lastModifiedBy>
  <cp:revision>11</cp:revision>
  <dcterms:created xsi:type="dcterms:W3CDTF">2026-02-18T15:21:00Z</dcterms:created>
  <dcterms:modified xsi:type="dcterms:W3CDTF">2026-02-20T09:54:00Z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0x0101001287A467FD3BE24CB82EFBE6871FD4E3</vt:lpwstr>
  </property>
</Properties>
</file>