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25C27" w14:textId="75974B29" w:rsidR="001E7284" w:rsidRDefault="00807BFD" w:rsidP="00807BFD">
      <w:pPr>
        <w:jc w:val="center"/>
        <w:rPr>
          <w:highlight w:val="yellow"/>
          <w:lang w:val="ru-RU"/>
        </w:rPr>
      </w:pPr>
      <w:r w:rsidRPr="00807BFD">
        <w:rPr>
          <w:highlight w:val="yellow"/>
          <w:lang w:val="ru-RU"/>
        </w:rPr>
        <w:t xml:space="preserve">Тара и упаковка грузов </w:t>
      </w:r>
      <w:r>
        <w:rPr>
          <w:highlight w:val="yellow"/>
          <w:lang w:val="ru-RU"/>
        </w:rPr>
        <w:t>–</w:t>
      </w:r>
      <w:r w:rsidRPr="00807BFD">
        <w:rPr>
          <w:highlight w:val="yellow"/>
          <w:lang w:val="ru-RU"/>
        </w:rPr>
        <w:t xml:space="preserve"> самостоятельно</w:t>
      </w:r>
    </w:p>
    <w:p w14:paraId="63697980" w14:textId="5F715A27" w:rsidR="000C6461" w:rsidRPr="000C6461" w:rsidRDefault="00807BFD" w:rsidP="000C6461">
      <w:pPr>
        <w:jc w:val="center"/>
        <w:rPr>
          <w:b/>
          <w:lang w:val="ru-RU"/>
        </w:rPr>
      </w:pPr>
      <w:r w:rsidRPr="000C6461">
        <w:rPr>
          <w:b/>
          <w:lang w:val="ru-RU"/>
        </w:rPr>
        <w:t>Стандартизация грузов и определение их качества</w:t>
      </w:r>
    </w:p>
    <w:p w14:paraId="1A6D245A" w14:textId="7027F1F9" w:rsidR="00807BFD" w:rsidRDefault="000C6461" w:rsidP="00807BFD">
      <w:pPr>
        <w:ind w:firstLine="567"/>
        <w:rPr>
          <w:lang w:val="ru-RU"/>
        </w:rPr>
      </w:pPr>
      <w:r>
        <w:rPr>
          <w:lang w:val="ru-RU"/>
        </w:rPr>
        <w:t>Качество товаров, тары и упаковки регламентируют государственные общероссийские стандарты (ГОСТы). Эти документы дают точные данные о продукте, материалах или изделиях, на которые они составлены.</w:t>
      </w:r>
    </w:p>
    <w:p w14:paraId="477ABDE4" w14:textId="745C7700" w:rsidR="000C6461" w:rsidRDefault="000C6461" w:rsidP="00807BFD">
      <w:pPr>
        <w:ind w:firstLine="567"/>
        <w:rPr>
          <w:lang w:val="ru-RU"/>
        </w:rPr>
      </w:pPr>
      <w:r>
        <w:rPr>
          <w:lang w:val="ru-RU"/>
        </w:rPr>
        <w:t>Транспортная стандартизация товаров, тары и упаковки рассматривает все виды транспорта как единую транспортную систему.</w:t>
      </w:r>
    </w:p>
    <w:p w14:paraId="1A4E3CB4" w14:textId="57827E17" w:rsidR="000C6461" w:rsidRDefault="000C6461" w:rsidP="00807BFD">
      <w:pPr>
        <w:ind w:firstLine="567"/>
        <w:rPr>
          <w:lang w:val="ru-RU"/>
        </w:rPr>
      </w:pPr>
      <w:r>
        <w:rPr>
          <w:lang w:val="ru-RU"/>
        </w:rPr>
        <w:t>Грузы в стандартной таре могут формироваться в укрупнённых единицах, пакетах, контейнерах и т.д. Это позволяет быстро и рационально загружать и разгружать транспортные средства, согласовав перед этим размеры грузовых помещений.</w:t>
      </w:r>
    </w:p>
    <w:p w14:paraId="1B59367F" w14:textId="1D8550C4" w:rsidR="00633028" w:rsidRDefault="000C6461" w:rsidP="00807BFD">
      <w:pPr>
        <w:ind w:firstLine="567"/>
        <w:rPr>
          <w:lang w:val="ru-RU"/>
        </w:rPr>
      </w:pPr>
      <w:r>
        <w:rPr>
          <w:lang w:val="ru-RU"/>
        </w:rPr>
        <w:t>В Российской Федерации стандартизацию производит государственный комитет России по стандарту, а сами ГОСТы являются единой формой стандартов и обязательны для применения во всех отраслях народного хозяйства</w:t>
      </w:r>
      <w:r w:rsidR="00633028">
        <w:rPr>
          <w:lang w:val="ru-RU"/>
        </w:rPr>
        <w:t>. Их применение не зависит от формы собственности предприятия.</w:t>
      </w:r>
    </w:p>
    <w:p w14:paraId="1E783E1B" w14:textId="6A66D15A" w:rsidR="00633028" w:rsidRPr="00BF24D3" w:rsidRDefault="00633028" w:rsidP="00807BFD">
      <w:pPr>
        <w:ind w:firstLine="567"/>
        <w:rPr>
          <w:lang w:val="ru-RU"/>
        </w:rPr>
      </w:pPr>
      <w:r>
        <w:rPr>
          <w:lang w:val="ru-RU"/>
        </w:rPr>
        <w:t xml:space="preserve">Кроме ГОСТов также устанавливаются отраслевые стандарты, ОСТ и отраслевые </w:t>
      </w:r>
      <w:r w:rsidR="00BF24D3" w:rsidRPr="00BF24D3">
        <w:rPr>
          <w:lang w:val="ru-RU"/>
        </w:rPr>
        <w:t>стандарты предприятий (СТП)</w:t>
      </w:r>
    </w:p>
    <w:p w14:paraId="3D64BCFA" w14:textId="1803FA47" w:rsidR="00633028" w:rsidRDefault="00633028" w:rsidP="00633028">
      <w:pPr>
        <w:ind w:firstLine="567"/>
        <w:rPr>
          <w:lang w:val="ru-RU"/>
        </w:rPr>
      </w:pPr>
      <w:r>
        <w:rPr>
          <w:lang w:val="ru-RU"/>
        </w:rPr>
        <w:t>В случаях, когда на выпускаемую продукцию отсутствуют вышеназванные стандарты, то производители обязательно разрабатывают технические условия (ТУ) или ВТУ.</w:t>
      </w:r>
    </w:p>
    <w:p w14:paraId="6BA52D76" w14:textId="29939029" w:rsidR="00633028" w:rsidRDefault="00633028" w:rsidP="00633028">
      <w:pPr>
        <w:ind w:firstLine="567"/>
        <w:rPr>
          <w:lang w:val="ru-RU"/>
        </w:rPr>
      </w:pPr>
      <w:r>
        <w:rPr>
          <w:lang w:val="ru-RU"/>
        </w:rPr>
        <w:t xml:space="preserve">Все стандарты имеют определённые </w:t>
      </w:r>
      <w:r w:rsidRPr="00633028">
        <w:rPr>
          <w:b/>
          <w:lang w:val="ru-RU"/>
        </w:rPr>
        <w:t>сроки действия</w:t>
      </w:r>
      <w:r>
        <w:rPr>
          <w:lang w:val="ru-RU"/>
        </w:rPr>
        <w:t>, по истечению которых они заменяются на другие или срок действия старых продляется. Технические условия как правило разрабатывает предприятие-производитель и согласовывает с заинтересованными сторонами. Ими могут являться как покупатели, так и поставщики сырья.</w:t>
      </w:r>
    </w:p>
    <w:p w14:paraId="1D0E2DEB" w14:textId="729B3F93" w:rsidR="00AB557B" w:rsidRDefault="00AB557B" w:rsidP="00633028">
      <w:pPr>
        <w:ind w:firstLine="567"/>
        <w:rPr>
          <w:highlight w:val="lightGray"/>
          <w:lang w:val="ru-RU"/>
        </w:rPr>
      </w:pPr>
      <w:r>
        <w:rPr>
          <w:lang w:val="ru-RU"/>
        </w:rPr>
        <w:t xml:space="preserve">В международном масштабе вопросами стандартизации </w:t>
      </w:r>
      <w:r w:rsidR="00877343">
        <w:rPr>
          <w:lang w:val="ru-RU"/>
        </w:rPr>
        <w:t>занимается международная организация по стандартизации</w:t>
      </w:r>
      <w:r w:rsidR="00862550">
        <w:rPr>
          <w:lang w:val="ru-RU"/>
        </w:rPr>
        <w:t xml:space="preserve"> </w:t>
      </w:r>
      <w:r w:rsidR="00862550" w:rsidRPr="00862550">
        <w:rPr>
          <w:highlight w:val="lightGray"/>
          <w:lang w:val="en-AU"/>
        </w:rPr>
        <w:t>ISO</w:t>
      </w:r>
      <w:r w:rsidR="00862550" w:rsidRPr="00862550">
        <w:rPr>
          <w:highlight w:val="lightGray"/>
          <w:lang w:val="ru-RU"/>
        </w:rPr>
        <w:t xml:space="preserve"> (</w:t>
      </w:r>
      <w:r w:rsidR="00862550" w:rsidRPr="00862550">
        <w:rPr>
          <w:highlight w:val="lightGray"/>
          <w:lang w:val="en-AU"/>
        </w:rPr>
        <w:t>International</w:t>
      </w:r>
      <w:r w:rsidR="00862550" w:rsidRPr="00862550">
        <w:rPr>
          <w:highlight w:val="lightGray"/>
          <w:lang w:val="ru-RU"/>
        </w:rPr>
        <w:t xml:space="preserve"> </w:t>
      </w:r>
      <w:r w:rsidR="00862550" w:rsidRPr="00862550">
        <w:rPr>
          <w:highlight w:val="lightGray"/>
          <w:lang w:val="en-AU"/>
        </w:rPr>
        <w:t>Organization</w:t>
      </w:r>
      <w:r w:rsidR="00862550" w:rsidRPr="00862550">
        <w:rPr>
          <w:highlight w:val="lightGray"/>
          <w:lang w:val="ru-RU"/>
        </w:rPr>
        <w:t xml:space="preserve"> </w:t>
      </w:r>
      <w:r w:rsidR="00862550" w:rsidRPr="00862550">
        <w:rPr>
          <w:highlight w:val="lightGray"/>
          <w:lang w:val="en-AU"/>
        </w:rPr>
        <w:t>for</w:t>
      </w:r>
      <w:r w:rsidR="00862550" w:rsidRPr="00862550">
        <w:rPr>
          <w:highlight w:val="lightGray"/>
          <w:lang w:val="ru-RU"/>
        </w:rPr>
        <w:t xml:space="preserve"> </w:t>
      </w:r>
      <w:r w:rsidR="00862550" w:rsidRPr="00862550">
        <w:rPr>
          <w:highlight w:val="lightGray"/>
          <w:lang w:val="en-AU"/>
        </w:rPr>
        <w:t>Sta</w:t>
      </w:r>
      <w:r w:rsidR="00862550">
        <w:rPr>
          <w:highlight w:val="lightGray"/>
          <w:lang w:val="en-AU"/>
        </w:rPr>
        <w:t>n</w:t>
      </w:r>
      <w:r w:rsidR="00862550" w:rsidRPr="00862550">
        <w:rPr>
          <w:highlight w:val="lightGray"/>
          <w:lang w:val="en-AU"/>
        </w:rPr>
        <w:t>d</w:t>
      </w:r>
      <w:r w:rsidR="00862550">
        <w:rPr>
          <w:highlight w:val="lightGray"/>
          <w:lang w:val="en-AU"/>
        </w:rPr>
        <w:t>ard</w:t>
      </w:r>
      <w:r w:rsidR="00862550" w:rsidRPr="00862550">
        <w:rPr>
          <w:highlight w:val="lightGray"/>
          <w:lang w:val="en-AU"/>
        </w:rPr>
        <w:t>ization</w:t>
      </w:r>
      <w:r w:rsidR="00862550" w:rsidRPr="00862550">
        <w:rPr>
          <w:highlight w:val="lightGray"/>
          <w:lang w:val="ru-RU"/>
        </w:rPr>
        <w:t>)</w:t>
      </w:r>
    </w:p>
    <w:p w14:paraId="40B0C5D5" w14:textId="61E3D278" w:rsidR="00862550" w:rsidRDefault="00862550" w:rsidP="00633028">
      <w:pPr>
        <w:ind w:firstLine="567"/>
        <w:rPr>
          <w:lang w:val="ru-RU"/>
        </w:rPr>
      </w:pPr>
      <w:r w:rsidRPr="00862550">
        <w:rPr>
          <w:lang w:val="ru-RU"/>
        </w:rPr>
        <w:t>В соответствии стандартам упаковка грузов способствует ускорению перегрузочных процессов и обеспечению дополнительной сохранности грузов.</w:t>
      </w:r>
      <w:r>
        <w:rPr>
          <w:lang w:val="ru-RU"/>
        </w:rPr>
        <w:t xml:space="preserve"> Стоит особо отметить, что при экспортно-импортных поставках, условия упаковки и состояния тары детально оговариваются при подписании торгового контракта, а условия, указанные в контракте, являются руководящим документом при оценке состояния груза и тары.</w:t>
      </w:r>
    </w:p>
    <w:p w14:paraId="1C6BEC0F" w14:textId="6DC7DCAA" w:rsidR="00862550" w:rsidRDefault="00862550" w:rsidP="00862550">
      <w:pPr>
        <w:ind w:firstLine="567"/>
        <w:rPr>
          <w:lang w:val="ru-RU"/>
        </w:rPr>
      </w:pPr>
      <w:r>
        <w:rPr>
          <w:lang w:val="ru-RU"/>
        </w:rPr>
        <w:t>При приёмке груза прежде всего необходимо убедиться в доброкачественном состоянии и его соответствии предъявляемым документам. В эксплуатационной практике существует 3 метода проверки состояния и качества груза:</w:t>
      </w:r>
    </w:p>
    <w:p w14:paraId="14D30B42" w14:textId="3C71CEF4" w:rsidR="00862550" w:rsidRDefault="00862550" w:rsidP="00862550">
      <w:pPr>
        <w:pStyle w:val="a3"/>
        <w:numPr>
          <w:ilvl w:val="0"/>
          <w:numId w:val="5"/>
        </w:numPr>
        <w:rPr>
          <w:lang w:val="ru-RU"/>
        </w:rPr>
      </w:pPr>
      <w:r w:rsidRPr="007955E7">
        <w:rPr>
          <w:b/>
          <w:lang w:val="ru-RU"/>
        </w:rPr>
        <w:t>Орган</w:t>
      </w:r>
      <w:r w:rsidRPr="007955E7">
        <w:rPr>
          <w:lang w:val="ru-RU"/>
        </w:rPr>
        <w:t xml:space="preserve">олептический – определение качества груза при помощи </w:t>
      </w:r>
      <w:r w:rsidRPr="007955E7">
        <w:rPr>
          <w:b/>
          <w:u w:val="single"/>
          <w:lang w:val="ru-RU"/>
        </w:rPr>
        <w:t>органов</w:t>
      </w:r>
      <w:r w:rsidRPr="007955E7">
        <w:rPr>
          <w:lang w:val="ru-RU"/>
        </w:rPr>
        <w:t xml:space="preserve"> чувств. (зрение, обоняние, осязание, слух</w:t>
      </w:r>
      <w:r w:rsidR="007955E7" w:rsidRPr="007955E7">
        <w:rPr>
          <w:lang w:val="ru-RU"/>
        </w:rPr>
        <w:t>), т.е. не предполагает использование специальных приборов. Позволяет определить внешний вид груза, цвет, запах и вкус.</w:t>
      </w:r>
      <w:r w:rsidR="007955E7">
        <w:rPr>
          <w:lang w:val="ru-RU"/>
        </w:rPr>
        <w:t xml:space="preserve"> </w:t>
      </w:r>
      <w:r w:rsidR="007955E7" w:rsidRPr="007955E7">
        <w:rPr>
          <w:lang w:val="ru-RU"/>
        </w:rPr>
        <w:t>Необходимо отметить, что этот метод в значительной степени является субъективным. Вместе с тем, в судовых условиях он часто является единственно возможным</w:t>
      </w:r>
      <w:r w:rsidR="007955E7">
        <w:rPr>
          <w:lang w:val="ru-RU"/>
        </w:rPr>
        <w:t>.</w:t>
      </w:r>
    </w:p>
    <w:p w14:paraId="751D32C4" w14:textId="51E29AA1" w:rsidR="007955E7" w:rsidRDefault="007955E7" w:rsidP="0086255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Натурный – основан на исследовании качества и свойств отобранных проб груза с помощью приборов в существующих натурных условиях. Основными приборами для этой цели служат: весы, рулетка, угломеры, термометр</w:t>
      </w:r>
      <w:r w:rsidR="00EB0821">
        <w:rPr>
          <w:lang w:val="ru-RU"/>
        </w:rPr>
        <w:t>.</w:t>
      </w:r>
    </w:p>
    <w:p w14:paraId="5F43FB9E" w14:textId="1287F618" w:rsidR="007955E7" w:rsidRDefault="007955E7" w:rsidP="0086255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Лабораторный – основан на исследовании качеств и свойств специально взятых проб с помощью приборов, аппаратов, реактивов. Сами пробы должны быть отобраны в точном соответствии </w:t>
      </w:r>
      <w:r w:rsidR="00EB0821">
        <w:rPr>
          <w:lang w:val="ru-RU"/>
        </w:rPr>
        <w:t>со стандартами ГОСТа.</w:t>
      </w:r>
    </w:p>
    <w:p w14:paraId="04F8A51A" w14:textId="00A7B970" w:rsidR="00EB0821" w:rsidRDefault="00EB0821" w:rsidP="00EB0821">
      <w:pPr>
        <w:ind w:firstLine="567"/>
        <w:rPr>
          <w:lang w:val="ru-RU"/>
        </w:rPr>
      </w:pPr>
      <w:r>
        <w:rPr>
          <w:lang w:val="ru-RU"/>
        </w:rPr>
        <w:t>В соответствии с международными правилами обычно отбирают 3 пробы – для лаборатории, для судна и для получателя грузов. Пробы упаковываются в такие ёмкости, где они могут сохранить свои первоначальные свойства</w:t>
      </w:r>
    </w:p>
    <w:p w14:paraId="3D81A420" w14:textId="125CDCC4" w:rsidR="00EB0821" w:rsidRDefault="00EB0821" w:rsidP="00EB0821">
      <w:pPr>
        <w:ind w:firstLine="567"/>
        <w:rPr>
          <w:lang w:val="ru-RU"/>
        </w:rPr>
      </w:pPr>
      <w:r>
        <w:rPr>
          <w:lang w:val="ru-RU"/>
        </w:rPr>
        <w:t>Существует несколько методов лабораторного исследования груза:</w:t>
      </w:r>
    </w:p>
    <w:p w14:paraId="0F8E0D98" w14:textId="5D9398C2" w:rsidR="00EB0821" w:rsidRDefault="00EB0821" w:rsidP="00EB082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Химический – определение химического состава груза</w:t>
      </w:r>
    </w:p>
    <w:p w14:paraId="02583F38" w14:textId="1A060B2D" w:rsidR="00EB0821" w:rsidRPr="00EB0821" w:rsidRDefault="00EB0821" w:rsidP="00EB0821">
      <w:pPr>
        <w:pStyle w:val="a3"/>
        <w:numPr>
          <w:ilvl w:val="0"/>
          <w:numId w:val="6"/>
        </w:numPr>
        <w:rPr>
          <w:lang w:val="ru-RU"/>
        </w:rPr>
      </w:pPr>
      <w:r w:rsidRPr="00EB0821">
        <w:rPr>
          <w:lang w:val="ru-RU"/>
        </w:rPr>
        <w:t>Физический – определение плотности, температуры кипения, вспышки, воспламенения, влажность, плотность и др.</w:t>
      </w:r>
    </w:p>
    <w:p w14:paraId="74E77491" w14:textId="02286122" w:rsidR="00EB0821" w:rsidRDefault="00EB0821" w:rsidP="00EB0821">
      <w:pPr>
        <w:pStyle w:val="a3"/>
        <w:numPr>
          <w:ilvl w:val="0"/>
          <w:numId w:val="6"/>
        </w:numPr>
        <w:rPr>
          <w:lang w:val="ru-RU"/>
        </w:rPr>
      </w:pPr>
      <w:r w:rsidRPr="00EB0821">
        <w:rPr>
          <w:lang w:val="ru-RU"/>
        </w:rPr>
        <w:t>Механический</w:t>
      </w:r>
      <w:r>
        <w:rPr>
          <w:lang w:val="ru-RU"/>
        </w:rPr>
        <w:t xml:space="preserve"> – определяет прочность, упругость, твёрдость и т.д.</w:t>
      </w:r>
    </w:p>
    <w:p w14:paraId="622307A0" w14:textId="775E1CC7" w:rsidR="00EB0821" w:rsidRDefault="00EB0821" w:rsidP="00EB082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Оптический – определение внутреннего строения груза</w:t>
      </w:r>
    </w:p>
    <w:p w14:paraId="7082FF04" w14:textId="2CEA63FC" w:rsidR="00136860" w:rsidRDefault="00136860" w:rsidP="00EB082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Биологический – определение в грузе живых организмов.</w:t>
      </w:r>
    </w:p>
    <w:p w14:paraId="370A889F" w14:textId="4634447B" w:rsidR="00136860" w:rsidRDefault="00136860" w:rsidP="00EB082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Рентгеноскопический – определение дефектов грузов.</w:t>
      </w:r>
    </w:p>
    <w:p w14:paraId="05C87898" w14:textId="28B97E84" w:rsidR="00136860" w:rsidRDefault="00136860" w:rsidP="00EB082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Радиоуглеродный – определение радиоактивности грузов</w:t>
      </w:r>
    </w:p>
    <w:p w14:paraId="6F3750B6" w14:textId="40EF8FC7" w:rsidR="00211DD5" w:rsidRDefault="00211DD5" w:rsidP="00211DD5">
      <w:pPr>
        <w:rPr>
          <w:lang w:val="ru-RU"/>
        </w:rPr>
      </w:pPr>
      <w:r>
        <w:rPr>
          <w:lang w:val="ru-RU"/>
        </w:rPr>
        <w:t>Исследованиям подвергаются в основном такие грузы как:</w:t>
      </w:r>
    </w:p>
    <w:p w14:paraId="416BAD4B" w14:textId="432E2F27" w:rsidR="00211DD5" w:rsidRPr="00211DD5" w:rsidRDefault="00211DD5" w:rsidP="00211DD5">
      <w:pPr>
        <w:pStyle w:val="a3"/>
        <w:numPr>
          <w:ilvl w:val="0"/>
          <w:numId w:val="7"/>
        </w:numPr>
        <w:ind w:left="1276"/>
        <w:rPr>
          <w:lang w:val="ru-RU"/>
        </w:rPr>
      </w:pPr>
      <w:r w:rsidRPr="00211DD5">
        <w:rPr>
          <w:lang w:val="ru-RU"/>
        </w:rPr>
        <w:t>Пищевые</w:t>
      </w:r>
    </w:p>
    <w:p w14:paraId="09C9710A" w14:textId="1B640858" w:rsidR="00211DD5" w:rsidRPr="00211DD5" w:rsidRDefault="00211DD5" w:rsidP="00211DD5">
      <w:pPr>
        <w:pStyle w:val="a3"/>
        <w:numPr>
          <w:ilvl w:val="0"/>
          <w:numId w:val="7"/>
        </w:numPr>
        <w:ind w:left="1276"/>
        <w:rPr>
          <w:lang w:val="ru-RU"/>
        </w:rPr>
      </w:pPr>
      <w:r w:rsidRPr="00211DD5">
        <w:rPr>
          <w:lang w:val="ru-RU"/>
        </w:rPr>
        <w:t>Хлебные</w:t>
      </w:r>
    </w:p>
    <w:p w14:paraId="32637A0B" w14:textId="44518635" w:rsidR="00211DD5" w:rsidRPr="00211DD5" w:rsidRDefault="00211DD5" w:rsidP="00211DD5">
      <w:pPr>
        <w:pStyle w:val="a3"/>
        <w:numPr>
          <w:ilvl w:val="0"/>
          <w:numId w:val="7"/>
        </w:numPr>
        <w:ind w:left="1276"/>
        <w:rPr>
          <w:lang w:val="ru-RU"/>
        </w:rPr>
      </w:pPr>
      <w:r w:rsidRPr="00211DD5">
        <w:rPr>
          <w:lang w:val="ru-RU"/>
        </w:rPr>
        <w:t>Наливные</w:t>
      </w:r>
    </w:p>
    <w:p w14:paraId="55C21CCD" w14:textId="1825CEDF" w:rsidR="00DC14D0" w:rsidRPr="00DC14D0" w:rsidRDefault="00DC14D0" w:rsidP="00DC14D0">
      <w:pPr>
        <w:pStyle w:val="a3"/>
        <w:numPr>
          <w:ilvl w:val="0"/>
          <w:numId w:val="7"/>
        </w:numPr>
        <w:ind w:left="1276"/>
        <w:rPr>
          <w:lang w:val="ru-RU"/>
        </w:rPr>
      </w:pPr>
      <w:r w:rsidRPr="00211DD5">
        <w:rPr>
          <w:lang w:val="ru-RU"/>
        </w:rPr>
        <w:t>Н</w:t>
      </w:r>
      <w:r w:rsidR="00211DD5" w:rsidRPr="00211DD5">
        <w:rPr>
          <w:lang w:val="ru-RU"/>
        </w:rPr>
        <w:t>авалочные</w:t>
      </w:r>
      <w:bookmarkStart w:id="0" w:name="_GoBack"/>
      <w:bookmarkEnd w:id="0"/>
    </w:p>
    <w:p w14:paraId="0767E235" w14:textId="77777777" w:rsidR="00862550" w:rsidRPr="00862550" w:rsidRDefault="00862550" w:rsidP="00633028">
      <w:pPr>
        <w:ind w:firstLine="567"/>
        <w:rPr>
          <w:lang w:val="ru-RU"/>
        </w:rPr>
      </w:pPr>
    </w:p>
    <w:sectPr w:rsidR="00862550" w:rsidRPr="0086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6E9"/>
    <w:multiLevelType w:val="hybridMultilevel"/>
    <w:tmpl w:val="8A2E6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511"/>
    <w:multiLevelType w:val="hybridMultilevel"/>
    <w:tmpl w:val="69BCBB2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1C4EE1"/>
    <w:multiLevelType w:val="hybridMultilevel"/>
    <w:tmpl w:val="9948D4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393E"/>
    <w:multiLevelType w:val="hybridMultilevel"/>
    <w:tmpl w:val="9E84A7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B03E6"/>
    <w:multiLevelType w:val="hybridMultilevel"/>
    <w:tmpl w:val="DCB0F61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6851F46"/>
    <w:multiLevelType w:val="hybridMultilevel"/>
    <w:tmpl w:val="F034A4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803BA"/>
    <w:multiLevelType w:val="hybridMultilevel"/>
    <w:tmpl w:val="3CACEE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0"/>
    <w:rsid w:val="000B191D"/>
    <w:rsid w:val="000C6461"/>
    <w:rsid w:val="00136860"/>
    <w:rsid w:val="001B2A60"/>
    <w:rsid w:val="001E7284"/>
    <w:rsid w:val="00211DD5"/>
    <w:rsid w:val="003A7AF3"/>
    <w:rsid w:val="00501F46"/>
    <w:rsid w:val="00513F25"/>
    <w:rsid w:val="00633028"/>
    <w:rsid w:val="007955E7"/>
    <w:rsid w:val="007A5936"/>
    <w:rsid w:val="00807BFD"/>
    <w:rsid w:val="00862550"/>
    <w:rsid w:val="008676D3"/>
    <w:rsid w:val="00877343"/>
    <w:rsid w:val="008B64E2"/>
    <w:rsid w:val="00AB557B"/>
    <w:rsid w:val="00BF24D3"/>
    <w:rsid w:val="00CB5A5D"/>
    <w:rsid w:val="00DA6C9E"/>
    <w:rsid w:val="00DC14D0"/>
    <w:rsid w:val="00EB0821"/>
    <w:rsid w:val="00F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7E90"/>
  <w15:chartTrackingRefBased/>
  <w15:docId w15:val="{B3817007-F0C8-4646-BAB4-87BF459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91D"/>
    <w:pPr>
      <w:ind w:left="720"/>
      <w:contextualSpacing/>
    </w:pPr>
  </w:style>
  <w:style w:type="paragraph" w:styleId="a4">
    <w:name w:val="No Spacing"/>
    <w:uiPriority w:val="1"/>
    <w:qFormat/>
    <w:rsid w:val="000B191D"/>
    <w:pPr>
      <w:spacing w:after="0" w:line="240" w:lineRule="auto"/>
    </w:pPr>
  </w:style>
  <w:style w:type="table" w:styleId="a5">
    <w:name w:val="Table Grid"/>
    <w:basedOn w:val="a1"/>
    <w:uiPriority w:val="39"/>
    <w:rsid w:val="000B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B5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2654-B562-4660-908C-58779922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12</cp:revision>
  <dcterms:created xsi:type="dcterms:W3CDTF">2023-03-02T23:27:00Z</dcterms:created>
  <dcterms:modified xsi:type="dcterms:W3CDTF">2023-03-10T00:28:00Z</dcterms:modified>
</cp:coreProperties>
</file>