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5930B" w14:textId="77CF3A85" w:rsidR="00726BCB" w:rsidRPr="00726BCB" w:rsidRDefault="00726BCB" w:rsidP="00726BCB">
      <w:pPr>
        <w:ind w:firstLine="567"/>
        <w:rPr>
          <w:lang w:val="ru-RU"/>
        </w:rPr>
      </w:pPr>
      <w:r w:rsidRPr="00726BCB">
        <w:rPr>
          <w:highlight w:val="cyan"/>
          <w:lang w:val="ru-RU"/>
        </w:rPr>
        <w:t>3 РГР, БРС, зачёт на посл. занятии, зачёт 60+, есть автомат</w:t>
      </w:r>
    </w:p>
    <w:p w14:paraId="0766A083" w14:textId="159A4DC1" w:rsidR="002833FD" w:rsidRDefault="00726BCB" w:rsidP="00726BCB">
      <w:pPr>
        <w:jc w:val="center"/>
        <w:rPr>
          <w:b/>
          <w:lang w:val="ru-RU"/>
        </w:rPr>
      </w:pPr>
      <w:r w:rsidRPr="00726BCB">
        <w:rPr>
          <w:b/>
          <w:lang w:val="ru-RU"/>
        </w:rPr>
        <w:t>Связи: сила реакции связей</w:t>
      </w:r>
    </w:p>
    <w:p w14:paraId="697501DE" w14:textId="77777777" w:rsidR="00651F1E" w:rsidRDefault="00726BCB" w:rsidP="00726BCB">
      <w:pPr>
        <w:ind w:firstLine="567"/>
        <w:rPr>
          <w:lang w:val="ru-RU"/>
        </w:rPr>
      </w:pPr>
      <w:r w:rsidRPr="00C45F07">
        <w:rPr>
          <w:b/>
          <w:lang w:val="ru-RU"/>
        </w:rPr>
        <w:t>Свободное тело</w:t>
      </w:r>
      <w:r>
        <w:rPr>
          <w:lang w:val="ru-RU"/>
        </w:rPr>
        <w:t xml:space="preserve"> – твёрдое тело, перемещения которого в пространстве не ограничены другими телами, скреплёнными или соприкасающимися с ним. </w:t>
      </w:r>
    </w:p>
    <w:p w14:paraId="2A3812E5" w14:textId="033A2A4A" w:rsidR="00726BCB" w:rsidRPr="00651F1E" w:rsidRDefault="00726BCB" w:rsidP="00651F1E">
      <w:pPr>
        <w:pStyle w:val="a3"/>
        <w:numPr>
          <w:ilvl w:val="0"/>
          <w:numId w:val="3"/>
        </w:numPr>
        <w:rPr>
          <w:lang w:val="ru-RU"/>
        </w:rPr>
      </w:pPr>
      <w:r w:rsidRPr="00651F1E">
        <w:rPr>
          <w:lang w:val="ru-RU"/>
        </w:rPr>
        <w:t>Свободному телу можно сообщить любые перемещения в пространстве. (спутник, летящий предмет)</w:t>
      </w:r>
    </w:p>
    <w:p w14:paraId="5B103F69" w14:textId="44B2DB1D" w:rsidR="00726BCB" w:rsidRDefault="00726BCB" w:rsidP="00726BCB">
      <w:pPr>
        <w:ind w:firstLine="567"/>
        <w:rPr>
          <w:lang w:val="ru-RU"/>
        </w:rPr>
      </w:pPr>
      <w:r w:rsidRPr="00C45F07">
        <w:rPr>
          <w:b/>
          <w:lang w:val="ru-RU"/>
        </w:rPr>
        <w:t>Несвободное тело</w:t>
      </w:r>
      <w:r>
        <w:rPr>
          <w:lang w:val="ru-RU"/>
        </w:rPr>
        <w:t xml:space="preserve"> – твёрдое тело, перемещения которого в пространстве ограничены другими телами, скреплёнными или соприкасающимися с ним</w:t>
      </w:r>
    </w:p>
    <w:p w14:paraId="1C8CC7E5" w14:textId="5ACD16D1" w:rsidR="00726BCB" w:rsidRDefault="00726BCB" w:rsidP="00726BCB">
      <w:pPr>
        <w:ind w:firstLine="567"/>
        <w:rPr>
          <w:lang w:val="ru-RU"/>
        </w:rPr>
      </w:pPr>
      <w:r w:rsidRPr="00C45F07">
        <w:rPr>
          <w:b/>
          <w:lang w:val="ru-RU"/>
        </w:rPr>
        <w:t>Связи</w:t>
      </w:r>
      <w:r>
        <w:rPr>
          <w:lang w:val="ru-RU"/>
        </w:rPr>
        <w:t xml:space="preserve"> – тела, ограничивающие перемещения данного тела в пространстве</w:t>
      </w:r>
    </w:p>
    <w:p w14:paraId="08F128F2" w14:textId="05CE7E08" w:rsidR="00726BCB" w:rsidRDefault="00726BCB" w:rsidP="00726BCB">
      <w:pPr>
        <w:ind w:firstLine="567"/>
        <w:rPr>
          <w:lang w:val="ru-RU"/>
        </w:rPr>
      </w:pPr>
      <w:r w:rsidRPr="00C45F07">
        <w:rPr>
          <w:b/>
          <w:lang w:val="ru-RU"/>
        </w:rPr>
        <w:t>Сила давления</w:t>
      </w:r>
      <w:r>
        <w:rPr>
          <w:lang w:val="ru-RU"/>
        </w:rPr>
        <w:t xml:space="preserve"> – сила, с которой тело действует на связь</w:t>
      </w:r>
    </w:p>
    <w:p w14:paraId="5DC59A66" w14:textId="1904BBB0" w:rsidR="00726BCB" w:rsidRDefault="00726BCB" w:rsidP="00651F1E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Если связь – гибкая нить, то действующая на нить сила называется натяжением или силой натяжения</w:t>
      </w:r>
    </w:p>
    <w:p w14:paraId="65A106D5" w14:textId="7D92376A" w:rsidR="00726BCB" w:rsidRDefault="00726BCB" w:rsidP="00726BCB">
      <w:pPr>
        <w:ind w:firstLine="567"/>
        <w:rPr>
          <w:lang w:val="ru-RU"/>
        </w:rPr>
      </w:pPr>
      <w:r w:rsidRPr="00C45F07">
        <w:rPr>
          <w:b/>
          <w:lang w:val="ru-RU"/>
        </w:rPr>
        <w:t>Сила реакции связи</w:t>
      </w:r>
      <w:r>
        <w:rPr>
          <w:lang w:val="ru-RU"/>
        </w:rPr>
        <w:t xml:space="preserve"> – сила, с которой связь действует на рассматриваемое тело</w:t>
      </w:r>
    </w:p>
    <w:p w14:paraId="6D64DDB5" w14:textId="14580F7D" w:rsidR="00726BCB" w:rsidRDefault="00726BCB" w:rsidP="00726BCB">
      <w:pPr>
        <w:ind w:firstLine="567"/>
        <w:rPr>
          <w:lang w:val="ru-RU"/>
        </w:rPr>
      </w:pPr>
      <w:r w:rsidRPr="00C45F07">
        <w:rPr>
          <w:b/>
          <w:lang w:val="ru-RU"/>
        </w:rPr>
        <w:t>Направление силы реакции связи</w:t>
      </w:r>
      <w:r>
        <w:rPr>
          <w:lang w:val="ru-RU"/>
        </w:rPr>
        <w:t xml:space="preserve"> – направлена противоположно направлению, в котором связь препятствует перемещению данного тела</w:t>
      </w:r>
    </w:p>
    <w:p w14:paraId="1156EBEE" w14:textId="2EACC3BD" w:rsidR="00726BCB" w:rsidRDefault="00726BCB" w:rsidP="00726BCB">
      <w:pPr>
        <w:ind w:firstLine="567"/>
        <w:rPr>
          <w:lang w:val="ru-RU"/>
        </w:rPr>
      </w:pPr>
      <w:r w:rsidRPr="00C45F07">
        <w:rPr>
          <w:b/>
          <w:lang w:val="ru-RU"/>
        </w:rPr>
        <w:t>Активные силы</w:t>
      </w:r>
      <w:r>
        <w:rPr>
          <w:lang w:val="ru-RU"/>
        </w:rPr>
        <w:t xml:space="preserve"> – силы, которые могут сообщить движение свободному телу.</w:t>
      </w:r>
    </w:p>
    <w:p w14:paraId="34DDF1AB" w14:textId="73CDA47F" w:rsidR="00726BCB" w:rsidRDefault="00726BCB" w:rsidP="00726BCB">
      <w:pPr>
        <w:ind w:firstLine="567"/>
        <w:rPr>
          <w:lang w:val="ru-RU"/>
        </w:rPr>
      </w:pPr>
      <w:r w:rsidRPr="00C45F07">
        <w:rPr>
          <w:b/>
          <w:lang w:val="ru-RU"/>
        </w:rPr>
        <w:t>Метод освобождения от связей</w:t>
      </w:r>
      <w:r>
        <w:rPr>
          <w:lang w:val="ru-RU"/>
        </w:rPr>
        <w:t xml:space="preserve"> – метод составления расчётных схем в задачах механики.</w:t>
      </w:r>
    </w:p>
    <w:p w14:paraId="332C8437" w14:textId="3E48E96F" w:rsidR="00726BCB" w:rsidRDefault="00726BCB" w:rsidP="00651F1E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Согласно нему, у любого несвободного тела</w:t>
      </w:r>
      <w:r w:rsidR="00651F1E">
        <w:rPr>
          <w:lang w:val="ru-RU"/>
        </w:rPr>
        <w:t xml:space="preserve"> связи можно отбросить, заменить их силами реакций и считать тело свободным</w:t>
      </w:r>
    </w:p>
    <w:p w14:paraId="0E30122E" w14:textId="261668F0" w:rsidR="00651F1E" w:rsidRDefault="00651F1E" w:rsidP="00651F1E">
      <w:pPr>
        <w:ind w:firstLine="567"/>
        <w:rPr>
          <w:lang w:val="ru-RU"/>
        </w:rPr>
      </w:pPr>
      <w:r w:rsidRPr="00C45F07">
        <w:rPr>
          <w:b/>
          <w:lang w:val="ru-RU"/>
        </w:rPr>
        <w:t>Гладкая поверхность</w:t>
      </w:r>
      <w:r>
        <w:rPr>
          <w:lang w:val="ru-RU"/>
        </w:rPr>
        <w:t xml:space="preserve"> – поверхность, трением со стороны которой можно пренебречь. </w:t>
      </w:r>
    </w:p>
    <w:p w14:paraId="44C47729" w14:textId="4DE800A0" w:rsidR="00651F1E" w:rsidRDefault="00651F1E" w:rsidP="00651F1E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Сила реакции гладкой поверхности направлена по общей нормали в точке контакта поверхностей соприкасающихся тел и приложена в этой точке (рис. 1)</w:t>
      </w:r>
    </w:p>
    <w:p w14:paraId="586CE173" w14:textId="1B27BA37" w:rsidR="00651F1E" w:rsidRDefault="00651F1E" w:rsidP="00651F1E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Если гладкое тело опирается на ребро, то сила реакции направлена по нормали к поверхности тела (рис. 2)</w:t>
      </w:r>
    </w:p>
    <w:p w14:paraId="73D859D7" w14:textId="5162C158" w:rsidR="00651F1E" w:rsidRDefault="00651F1E" w:rsidP="00651F1E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При действии тела ребром на гладкую поверхность сила реакции направлена по нормали к поверхности связи (рис. 3)</w:t>
      </w:r>
    </w:p>
    <w:p w14:paraId="1A32F119" w14:textId="59491669" w:rsidR="00AB1213" w:rsidRDefault="00AB1213" w:rsidP="00AB1213">
      <w:pPr>
        <w:ind w:left="-1134" w:firstLine="567"/>
        <w:jc w:val="center"/>
        <w:rPr>
          <w:b/>
          <w:lang w:val="ru-RU"/>
        </w:rPr>
      </w:pPr>
      <w:r w:rsidRPr="00AB1213">
        <w:rPr>
          <w:b/>
          <w:lang w:val="ru-RU"/>
        </w:rPr>
        <w:drawing>
          <wp:inline distT="0" distB="0" distL="0" distR="0" wp14:anchorId="63EDA3F1" wp14:editId="6D27B507">
            <wp:extent cx="5940425" cy="11493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C9F2E" w14:textId="26D37B6E" w:rsidR="00651F1E" w:rsidRDefault="00651F1E" w:rsidP="00651F1E">
      <w:pPr>
        <w:ind w:firstLine="567"/>
        <w:rPr>
          <w:lang w:val="ru-RU"/>
        </w:rPr>
      </w:pPr>
      <w:r w:rsidRPr="00C45F07">
        <w:rPr>
          <w:b/>
          <w:lang w:val="ru-RU"/>
        </w:rPr>
        <w:t>Цилиндрический шарнир</w:t>
      </w:r>
      <w:r>
        <w:rPr>
          <w:lang w:val="ru-RU"/>
        </w:rPr>
        <w:t xml:space="preserve"> – устройство, обеспечивающее вращение тела вокруг оси</w:t>
      </w:r>
    </w:p>
    <w:p w14:paraId="79EBF235" w14:textId="16BB67BC" w:rsidR="00651F1E" w:rsidRDefault="00651F1E" w:rsidP="00651F1E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Сила реакции цилиндрического шарнира может иметь любое направление в плоскости, перпендикулярной оси шарнира (рис.4.) На практике сила реакции заменяется её составляющими, направленными в стороны положительных направлений координатных осей.</w:t>
      </w:r>
    </w:p>
    <w:p w14:paraId="2E874F7F" w14:textId="0BF90607" w:rsidR="00AB1213" w:rsidRPr="00AB1213" w:rsidRDefault="00AB1213" w:rsidP="00AB1213">
      <w:pPr>
        <w:ind w:left="-851"/>
        <w:jc w:val="center"/>
        <w:rPr>
          <w:lang w:val="ru-RU"/>
        </w:rPr>
      </w:pPr>
      <w:r w:rsidRPr="00AB1213">
        <w:rPr>
          <w:lang w:val="ru-RU"/>
        </w:rPr>
        <w:lastRenderedPageBreak/>
        <w:drawing>
          <wp:inline distT="0" distB="0" distL="0" distR="0" wp14:anchorId="6B68FFA0" wp14:editId="47CEC162">
            <wp:extent cx="5940425" cy="23996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9BB0D" w14:textId="77777777" w:rsidR="00651F1E" w:rsidRDefault="00651F1E" w:rsidP="00651F1E">
      <w:pPr>
        <w:ind w:firstLine="567"/>
        <w:rPr>
          <w:lang w:val="ru-RU"/>
        </w:rPr>
      </w:pPr>
      <w:r w:rsidRPr="00C45F07">
        <w:rPr>
          <w:b/>
          <w:lang w:val="ru-RU"/>
        </w:rPr>
        <w:t>Шарнирная неподвижная опора</w:t>
      </w:r>
      <w:r>
        <w:rPr>
          <w:lang w:val="ru-RU"/>
        </w:rPr>
        <w:t xml:space="preserve"> – неподвижная опора, снабжённая цилиндрическим шарниром.</w:t>
      </w:r>
    </w:p>
    <w:p w14:paraId="3FD3F495" w14:textId="0BA79C19" w:rsidR="00651F1E" w:rsidRDefault="00651F1E" w:rsidP="000D4B22">
      <w:pPr>
        <w:pStyle w:val="a3"/>
        <w:numPr>
          <w:ilvl w:val="0"/>
          <w:numId w:val="5"/>
        </w:numPr>
        <w:rPr>
          <w:lang w:val="ru-RU"/>
        </w:rPr>
      </w:pPr>
      <w:r w:rsidRPr="000D4B22">
        <w:rPr>
          <w:lang w:val="ru-RU"/>
        </w:rPr>
        <w:t>Сила реакции шарнирной неподвижной опоры направлена так же, как и сила реакции цилиндрического шарнира (рис. 5)</w:t>
      </w:r>
    </w:p>
    <w:p w14:paraId="37F52716" w14:textId="77777777" w:rsidR="000D4B22" w:rsidRDefault="000D4B22" w:rsidP="000D4B22">
      <w:pPr>
        <w:ind w:firstLine="567"/>
        <w:rPr>
          <w:lang w:val="ru-RU"/>
        </w:rPr>
      </w:pPr>
      <w:r w:rsidRPr="00C45F07">
        <w:rPr>
          <w:b/>
          <w:lang w:val="ru-RU"/>
        </w:rPr>
        <w:t>Шарнирная подвижная опора</w:t>
      </w:r>
      <w:r>
        <w:rPr>
          <w:lang w:val="ru-RU"/>
        </w:rPr>
        <w:t xml:space="preserve"> – подвижная опора (на роликах или скользящая), снабжённая цилиндрическим шарниром. </w:t>
      </w:r>
    </w:p>
    <w:p w14:paraId="381C14F8" w14:textId="7044039C" w:rsidR="000D4B22" w:rsidRDefault="000D4B22" w:rsidP="000D4B22">
      <w:pPr>
        <w:pStyle w:val="a3"/>
        <w:numPr>
          <w:ilvl w:val="0"/>
          <w:numId w:val="5"/>
        </w:numPr>
        <w:rPr>
          <w:lang w:val="ru-RU"/>
        </w:rPr>
      </w:pPr>
      <w:r w:rsidRPr="000D4B22">
        <w:rPr>
          <w:lang w:val="ru-RU"/>
        </w:rPr>
        <w:t>Сила реакции шарнирной подвижной опоры направлена перпендикулярно опорной поверхности. (рис. 6, 7)</w:t>
      </w:r>
    </w:p>
    <w:p w14:paraId="49E29555" w14:textId="7B923260" w:rsidR="00AB1213" w:rsidRDefault="00AB1213" w:rsidP="00AB1213">
      <w:pPr>
        <w:ind w:left="-1134" w:firstLine="567"/>
        <w:jc w:val="center"/>
        <w:rPr>
          <w:b/>
          <w:lang w:val="ru-RU"/>
        </w:rPr>
      </w:pPr>
      <w:r w:rsidRPr="00AB1213">
        <w:rPr>
          <w:b/>
          <w:lang w:val="ru-RU"/>
        </w:rPr>
        <w:lastRenderedPageBreak/>
        <w:drawing>
          <wp:inline distT="0" distB="0" distL="0" distR="0" wp14:anchorId="32A381EA" wp14:editId="7D18CE73">
            <wp:extent cx="5940425" cy="57785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B63DD" w14:textId="790EDA88" w:rsidR="000D4B22" w:rsidRDefault="000D4B22" w:rsidP="000D4B22">
      <w:pPr>
        <w:ind w:firstLine="567"/>
        <w:rPr>
          <w:lang w:val="ru-RU"/>
        </w:rPr>
      </w:pPr>
      <w:r w:rsidRPr="00C45F07">
        <w:rPr>
          <w:b/>
          <w:lang w:val="ru-RU"/>
        </w:rPr>
        <w:t>Сферический шарнир</w:t>
      </w:r>
      <w:r>
        <w:rPr>
          <w:lang w:val="ru-RU"/>
        </w:rPr>
        <w:t xml:space="preserve"> – устройство, обеспечивающее движение тела вокруг его неподвижной точки.</w:t>
      </w:r>
    </w:p>
    <w:p w14:paraId="3498E4FE" w14:textId="29C3C521" w:rsidR="000D4B22" w:rsidRDefault="000D4B22" w:rsidP="000D4B22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Сила реакции сферического шарнира проходит через неподвижную точку тела и может иметь любое направление в пространстве. При расчётах сила реакции представляется в виде трёх взаимно перпендикулярных составляющих (рис. 8)</w:t>
      </w:r>
    </w:p>
    <w:p w14:paraId="77640112" w14:textId="77777777" w:rsidR="000D4B22" w:rsidRDefault="000D4B22" w:rsidP="000D4B22">
      <w:pPr>
        <w:ind w:firstLine="567"/>
        <w:rPr>
          <w:lang w:val="ru-RU"/>
        </w:rPr>
      </w:pPr>
      <w:r w:rsidRPr="00C45F07">
        <w:rPr>
          <w:b/>
          <w:lang w:val="ru-RU"/>
        </w:rPr>
        <w:t>Подпятник</w:t>
      </w:r>
      <w:r>
        <w:rPr>
          <w:lang w:val="ru-RU"/>
        </w:rPr>
        <w:t xml:space="preserve"> – устройство, обеспечивающее неподвижность конца вала (как правило, вертикального). </w:t>
      </w:r>
    </w:p>
    <w:p w14:paraId="566E4C31" w14:textId="710540CC" w:rsidR="000D4B22" w:rsidRDefault="000D4B22" w:rsidP="000D4B22">
      <w:pPr>
        <w:pStyle w:val="a3"/>
        <w:numPr>
          <w:ilvl w:val="0"/>
          <w:numId w:val="5"/>
        </w:numPr>
        <w:rPr>
          <w:lang w:val="ru-RU"/>
        </w:rPr>
      </w:pPr>
      <w:r w:rsidRPr="000D4B22">
        <w:rPr>
          <w:lang w:val="ru-RU"/>
        </w:rPr>
        <w:t>Сила реакции подпятника проходит через неподвижную точку нижнего торца вала и может иметь любое направление</w:t>
      </w:r>
      <w:r>
        <w:rPr>
          <w:lang w:val="ru-RU"/>
        </w:rPr>
        <w:t>. При расчётах сила реакции представляется в виде трёх взаимно перпендикулярных составляющих (рис. 9)</w:t>
      </w:r>
    </w:p>
    <w:p w14:paraId="3679BDD0" w14:textId="77777777" w:rsidR="00647B82" w:rsidRDefault="000D4B22" w:rsidP="000D4B22">
      <w:pPr>
        <w:ind w:firstLine="567"/>
        <w:rPr>
          <w:lang w:val="ru-RU"/>
        </w:rPr>
      </w:pPr>
      <w:r w:rsidRPr="00C45F07">
        <w:rPr>
          <w:b/>
          <w:lang w:val="ru-RU"/>
        </w:rPr>
        <w:t>Невесомый прямолинейный стержень</w:t>
      </w:r>
      <w:r>
        <w:rPr>
          <w:lang w:val="ru-RU"/>
        </w:rPr>
        <w:t xml:space="preserve"> – это стержень, весом которого по сравнению с воспринимаемым им нагрузкой можно пренебречь. </w:t>
      </w:r>
    </w:p>
    <w:p w14:paraId="39B4116C" w14:textId="0DE4BB3C" w:rsidR="00647B82" w:rsidRDefault="000D4B22" w:rsidP="00647B82">
      <w:pPr>
        <w:pStyle w:val="a3"/>
        <w:numPr>
          <w:ilvl w:val="0"/>
          <w:numId w:val="5"/>
        </w:numPr>
        <w:rPr>
          <w:lang w:val="ru-RU"/>
        </w:rPr>
      </w:pPr>
      <w:r w:rsidRPr="00647B82">
        <w:rPr>
          <w:lang w:val="ru-RU"/>
        </w:rPr>
        <w:t>Сила реакции невесомого шарнирно закреплённого за концы прямолинейного стержня направлена вдоль его оси. Стрелка вектора силы реакции направлена внутрь стержня (если растянут) или наружу (сжат)</w:t>
      </w:r>
      <w:r w:rsidR="00647B82">
        <w:rPr>
          <w:lang w:val="ru-RU"/>
        </w:rPr>
        <w:t xml:space="preserve"> (рис. 10, 11, 12)</w:t>
      </w:r>
    </w:p>
    <w:p w14:paraId="7193D35C" w14:textId="2F353F4D" w:rsidR="000D4B22" w:rsidRDefault="00647B82" w:rsidP="00647B82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lastRenderedPageBreak/>
        <w:t>При расчёте ферм способом вырезания узлов, все стержни, действующие на рассматриваемый узел, считают растянутыми и их реакции изображают векторами, направленными от узла. Из уравнений равновесия определяют алгебраический значения реакции стержней. Стержни, у которых расчётные реакции имеют знак «+», работают на растяжение, а стержни с «-» - на сжатие</w:t>
      </w:r>
    </w:p>
    <w:p w14:paraId="482408CB" w14:textId="152DAB36" w:rsidR="00AB1213" w:rsidRDefault="00AB1213" w:rsidP="00AB1213">
      <w:pPr>
        <w:ind w:left="-1276" w:firstLine="567"/>
        <w:jc w:val="center"/>
        <w:rPr>
          <w:b/>
          <w:lang w:val="ru-RU"/>
        </w:rPr>
      </w:pPr>
      <w:r w:rsidRPr="00AB1213">
        <w:rPr>
          <w:b/>
          <w:lang w:val="ru-RU"/>
        </w:rPr>
        <w:drawing>
          <wp:inline distT="0" distB="0" distL="0" distR="0" wp14:anchorId="140DE8F9" wp14:editId="44793580">
            <wp:extent cx="5940425" cy="4103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A2984" w14:textId="4D296567" w:rsidR="00647B82" w:rsidRPr="00647B82" w:rsidRDefault="00647B82" w:rsidP="00647B82">
      <w:pPr>
        <w:ind w:firstLine="567"/>
        <w:rPr>
          <w:lang w:val="ru-RU"/>
        </w:rPr>
      </w:pPr>
      <w:r w:rsidRPr="00C45F07">
        <w:rPr>
          <w:b/>
          <w:lang w:val="ru-RU"/>
        </w:rPr>
        <w:t>Невесомый криволинейный стержень</w:t>
      </w:r>
      <w:r>
        <w:rPr>
          <w:lang w:val="ru-RU"/>
        </w:rPr>
        <w:t xml:space="preserve"> – сила реакции невесомого шарнирно закреплённого</w:t>
      </w:r>
      <w:r w:rsidR="00C45F07" w:rsidRPr="00C45F07">
        <w:rPr>
          <w:lang w:val="ru-RU"/>
        </w:rPr>
        <w:t xml:space="preserve"> </w:t>
      </w:r>
      <w:r w:rsidR="00C45F07">
        <w:rPr>
          <w:lang w:val="ru-RU"/>
        </w:rPr>
        <w:t>криволинейного</w:t>
      </w:r>
      <w:r>
        <w:rPr>
          <w:lang w:val="ru-RU"/>
        </w:rPr>
        <w:t xml:space="preserve"> стержня направлена вдоль линии, соединяющей шарниры на концах стержня (рис. 13)</w:t>
      </w:r>
    </w:p>
    <w:p w14:paraId="4F9D7EE5" w14:textId="14C55D30" w:rsidR="000D4B22" w:rsidRDefault="00647B82" w:rsidP="00647B82">
      <w:pPr>
        <w:ind w:firstLine="567"/>
        <w:rPr>
          <w:lang w:val="ru-RU"/>
        </w:rPr>
      </w:pPr>
      <w:r>
        <w:rPr>
          <w:lang w:val="ru-RU"/>
        </w:rPr>
        <w:t>Шероховатая поверхность – поверхность, трение которой учитывают при решении задач.</w:t>
      </w:r>
    </w:p>
    <w:p w14:paraId="7294CA15" w14:textId="1C303423" w:rsidR="00647B82" w:rsidRDefault="00647B82" w:rsidP="00647B82">
      <w:pPr>
        <w:pStyle w:val="a3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Сила реакции шероховатой поверхности отклонена от общей нормали к поверхностям соприкасающихся тел в сторону, противоположную направлению, в котором связь </w:t>
      </w:r>
      <w:r w:rsidR="00CA56C5">
        <w:rPr>
          <w:lang w:val="ru-RU"/>
        </w:rPr>
        <w:t>препятствует скольжению рассматриваемого тела (рис. 14)</w:t>
      </w:r>
    </w:p>
    <w:p w14:paraId="004CDD2A" w14:textId="5B59DD3E" w:rsidR="00CA56C5" w:rsidRDefault="00CA56C5" w:rsidP="00647B82">
      <w:pPr>
        <w:pStyle w:val="a3"/>
        <w:numPr>
          <w:ilvl w:val="0"/>
          <w:numId w:val="7"/>
        </w:numPr>
        <w:rPr>
          <w:lang w:val="ru-RU"/>
        </w:rPr>
      </w:pPr>
      <w:r>
        <w:rPr>
          <w:lang w:val="ru-RU"/>
        </w:rPr>
        <w:t>В расчётах сила реакции шероховатой поверхности представляется в виде двух составляющих: силы, перпендикулярной поверхности связи (нормальной реакции), и силы, направленной по касательной к поверхности.</w:t>
      </w:r>
    </w:p>
    <w:p w14:paraId="21897F92" w14:textId="50C79D5B" w:rsidR="00CA56C5" w:rsidRPr="00CA56C5" w:rsidRDefault="00CA56C5" w:rsidP="00CA56C5">
      <w:pPr>
        <w:pStyle w:val="a3"/>
        <w:ind w:left="1287"/>
        <w:rPr>
          <w:rFonts w:eastAsiaTheme="minorEastAsia"/>
          <w:i/>
          <w:lang w:val="en-A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F</m:t>
              </m:r>
            </m:e>
            <m:sub>
              <m:r>
                <w:rPr>
                  <w:rFonts w:ascii="Cambria Math" w:hAnsi="Cambria Math"/>
                  <w:lang w:val="ru-RU"/>
                </w:rPr>
                <m:t>тр</m:t>
              </m:r>
            </m:sub>
          </m:sSub>
          <m:r>
            <w:rPr>
              <w:rFonts w:ascii="Cambria Math" w:hAnsi="Cambria Math"/>
              <w:lang w:val="ru-RU"/>
            </w:rPr>
            <m:t xml:space="preserve">= </m:t>
          </m:r>
          <m:r>
            <w:rPr>
              <w:rFonts w:ascii="Cambria Math" w:hAnsi="Cambria Math"/>
              <w:lang w:val="ru-RU"/>
            </w:rPr>
            <m:t>f</m:t>
          </m:r>
          <m:r>
            <w:rPr>
              <w:rFonts w:ascii="Cambria Math" w:hAnsi="Cambria Math"/>
              <w:lang w:val="en-AU"/>
            </w:rPr>
            <m:t>Rn</m:t>
          </m:r>
        </m:oMath>
      </m:oMathPara>
    </w:p>
    <w:p w14:paraId="14EC7CD6" w14:textId="0214F29E" w:rsidR="00CA56C5" w:rsidRPr="00CA56C5" w:rsidRDefault="00CA56C5" w:rsidP="00CA56C5">
      <w:pPr>
        <w:pStyle w:val="a3"/>
        <w:ind w:left="1287"/>
        <w:rPr>
          <w:i/>
          <w:lang w:val="ru-RU"/>
        </w:rPr>
      </w:pPr>
      <w:r>
        <w:rPr>
          <w:i/>
          <w:lang w:val="ru-RU"/>
        </w:rPr>
        <w:t xml:space="preserve">Где </w:t>
      </w:r>
      <w:r w:rsidRPr="00CA56C5">
        <w:rPr>
          <w:i/>
          <w:lang w:val="ru-RU"/>
        </w:rPr>
        <w:t>f</w:t>
      </w:r>
      <w:r>
        <w:rPr>
          <w:i/>
          <w:lang w:val="ru-RU"/>
        </w:rPr>
        <w:t xml:space="preserve"> – коэффициент трения, </w:t>
      </w:r>
      <w:r>
        <w:rPr>
          <w:i/>
          <w:lang w:val="en-AU"/>
        </w:rPr>
        <w:t>Rn</w:t>
      </w:r>
      <w:r w:rsidRPr="00CA56C5">
        <w:rPr>
          <w:i/>
          <w:lang w:val="ru-RU"/>
        </w:rPr>
        <w:t xml:space="preserve"> </w:t>
      </w:r>
      <w:r>
        <w:rPr>
          <w:i/>
          <w:lang w:val="ru-RU"/>
        </w:rPr>
        <w:t>–</w:t>
      </w:r>
      <w:r w:rsidRPr="00CA56C5">
        <w:rPr>
          <w:i/>
          <w:lang w:val="ru-RU"/>
        </w:rPr>
        <w:t xml:space="preserve"> </w:t>
      </w:r>
      <w:r>
        <w:rPr>
          <w:i/>
          <w:lang w:val="ru-RU"/>
        </w:rPr>
        <w:t>величина нормальной реакции связи</w:t>
      </w:r>
    </w:p>
    <w:p w14:paraId="55938D86" w14:textId="77777777" w:rsidR="00AB1213" w:rsidRDefault="00AB1213" w:rsidP="00647B82">
      <w:pPr>
        <w:ind w:firstLine="567"/>
        <w:rPr>
          <w:b/>
          <w:lang w:val="ru-RU"/>
        </w:rPr>
      </w:pPr>
      <w:r>
        <w:rPr>
          <w:b/>
          <w:lang w:val="ru-RU"/>
        </w:rPr>
        <w:br w:type="page"/>
      </w:r>
    </w:p>
    <w:p w14:paraId="6F620253" w14:textId="23D8F74A" w:rsidR="00647B82" w:rsidRDefault="00647B82" w:rsidP="00647B82">
      <w:pPr>
        <w:ind w:firstLine="567"/>
        <w:rPr>
          <w:lang w:val="ru-RU"/>
        </w:rPr>
      </w:pPr>
      <w:r w:rsidRPr="00C45F07">
        <w:rPr>
          <w:b/>
          <w:lang w:val="ru-RU"/>
        </w:rPr>
        <w:lastRenderedPageBreak/>
        <w:t>Невесомая гибкая нерастяжимая нить</w:t>
      </w:r>
      <w:r>
        <w:rPr>
          <w:lang w:val="ru-RU"/>
        </w:rPr>
        <w:t xml:space="preserve"> – гибкая связь, имеющая по сравнению с воспринимаемой нагрузкой малый вес, малую растяжимость и требующая малых усилий для изгиба.</w:t>
      </w:r>
    </w:p>
    <w:p w14:paraId="738383B3" w14:textId="5F314CCC" w:rsidR="00CA56C5" w:rsidRPr="00CA56C5" w:rsidRDefault="00CA56C5" w:rsidP="00CA56C5">
      <w:pPr>
        <w:pStyle w:val="a3"/>
        <w:numPr>
          <w:ilvl w:val="0"/>
          <w:numId w:val="8"/>
        </w:numPr>
        <w:rPr>
          <w:lang w:val="ru-RU"/>
        </w:rPr>
      </w:pPr>
      <w:r>
        <w:rPr>
          <w:lang w:val="ru-RU"/>
        </w:rPr>
        <w:t>Сила реакции невесомой гибкой нерастяжимой нити направлена от рассматриваемого тела вдоль нити к точке её закрепления (рис. 15). Если нить принимает под действием распределённой нагрузки криволинейную форму, то сила реакции нити направлена по касательной к нити в точке крепления её к рассматриваемому телу.</w:t>
      </w:r>
    </w:p>
    <w:p w14:paraId="5F0F3FD9" w14:textId="078180A9" w:rsidR="00AB1213" w:rsidRDefault="00AB1213" w:rsidP="00AB1213">
      <w:pPr>
        <w:ind w:left="-1276" w:firstLine="567"/>
        <w:jc w:val="center"/>
        <w:rPr>
          <w:b/>
          <w:lang w:val="ru-RU"/>
        </w:rPr>
      </w:pPr>
      <w:r w:rsidRPr="00AB1213">
        <w:rPr>
          <w:b/>
          <w:lang w:val="ru-RU"/>
        </w:rPr>
        <w:drawing>
          <wp:inline distT="0" distB="0" distL="0" distR="0" wp14:anchorId="0E31879F" wp14:editId="19AF8D73">
            <wp:extent cx="5940425" cy="26384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AC5DD" w14:textId="6900CEED" w:rsidR="00647B82" w:rsidRDefault="00647B82" w:rsidP="00647B82">
      <w:pPr>
        <w:ind w:firstLine="567"/>
        <w:rPr>
          <w:lang w:val="ru-RU"/>
        </w:rPr>
      </w:pPr>
      <w:r w:rsidRPr="00C45F07">
        <w:rPr>
          <w:b/>
          <w:lang w:val="ru-RU"/>
        </w:rPr>
        <w:t>Жёсткая заделка («заделка»)</w:t>
      </w:r>
      <w:r>
        <w:rPr>
          <w:lang w:val="ru-RU"/>
        </w:rPr>
        <w:t xml:space="preserve"> – связь, обеспечивающая неподвижное закрепление оконечности бруса.</w:t>
      </w:r>
    </w:p>
    <w:p w14:paraId="281847C4" w14:textId="77777777" w:rsidR="00C45F07" w:rsidRDefault="00CA56C5" w:rsidP="00C45F07">
      <w:pPr>
        <w:pStyle w:val="a3"/>
        <w:numPr>
          <w:ilvl w:val="0"/>
          <w:numId w:val="8"/>
        </w:numPr>
        <w:rPr>
          <w:lang w:val="ru-RU"/>
        </w:rPr>
      </w:pPr>
      <w:r>
        <w:rPr>
          <w:lang w:val="ru-RU"/>
        </w:rPr>
        <w:t>Если на брус действует плоская система сил, то реакция «заделки» приводится к двум составляющим – силе и моменту. При расчёте силы реакции «заделки» её представляют в виде двух взаимно перпендикулярных сил (рис. 17)</w:t>
      </w:r>
      <w:r w:rsidR="00C45F07">
        <w:rPr>
          <w:lang w:val="ru-RU"/>
        </w:rPr>
        <w:t xml:space="preserve">. </w:t>
      </w:r>
    </w:p>
    <w:p w14:paraId="541F865A" w14:textId="18A93E00" w:rsidR="00CA56C5" w:rsidRDefault="00C45F07" w:rsidP="00C45F07">
      <w:pPr>
        <w:pStyle w:val="a3"/>
        <w:numPr>
          <w:ilvl w:val="0"/>
          <w:numId w:val="8"/>
        </w:numPr>
        <w:rPr>
          <w:lang w:val="ru-RU"/>
        </w:rPr>
      </w:pPr>
      <w:r>
        <w:rPr>
          <w:lang w:val="ru-RU"/>
        </w:rPr>
        <w:t>Если брус находится под действием сил, расположенных произвольно в пространстве, то силы реакции «заделки» можно представить в виде трёх взаимно перпендикулярных составляющих и трёх моментов относительно соответствующих осей (рис. 18)</w:t>
      </w:r>
      <w:bookmarkStart w:id="0" w:name="_GoBack"/>
      <w:bookmarkEnd w:id="0"/>
    </w:p>
    <w:p w14:paraId="2FBC4431" w14:textId="04AC0D3C" w:rsidR="00AB1213" w:rsidRPr="00AB1213" w:rsidRDefault="00AB1213" w:rsidP="00AB1213">
      <w:pPr>
        <w:ind w:left="-709"/>
        <w:jc w:val="center"/>
        <w:rPr>
          <w:lang w:val="ru-RU"/>
        </w:rPr>
      </w:pPr>
      <w:r w:rsidRPr="00AB1213">
        <w:rPr>
          <w:lang w:val="ru-RU"/>
        </w:rPr>
        <w:drawing>
          <wp:inline distT="0" distB="0" distL="0" distR="0" wp14:anchorId="578463C1" wp14:editId="15480AD2">
            <wp:extent cx="5940425" cy="263842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1213" w:rsidRPr="00AB12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77F78"/>
    <w:multiLevelType w:val="hybridMultilevel"/>
    <w:tmpl w:val="E7BCC7A8"/>
    <w:lvl w:ilvl="0" w:tplc="2000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2096012"/>
    <w:multiLevelType w:val="hybridMultilevel"/>
    <w:tmpl w:val="D8FE0058"/>
    <w:lvl w:ilvl="0" w:tplc="2000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EF06D86"/>
    <w:multiLevelType w:val="hybridMultilevel"/>
    <w:tmpl w:val="9BB02D44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48D442FC"/>
    <w:multiLevelType w:val="hybridMultilevel"/>
    <w:tmpl w:val="195091AE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D5206BD"/>
    <w:multiLevelType w:val="hybridMultilevel"/>
    <w:tmpl w:val="468833B0"/>
    <w:lvl w:ilvl="0" w:tplc="2000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52512D91"/>
    <w:multiLevelType w:val="hybridMultilevel"/>
    <w:tmpl w:val="9CF01C52"/>
    <w:lvl w:ilvl="0" w:tplc="2000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77722B1E"/>
    <w:multiLevelType w:val="hybridMultilevel"/>
    <w:tmpl w:val="B5424E78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7D3D6487"/>
    <w:multiLevelType w:val="hybridMultilevel"/>
    <w:tmpl w:val="D6C8733A"/>
    <w:lvl w:ilvl="0" w:tplc="2000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7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3FD"/>
    <w:rsid w:val="000D4B22"/>
    <w:rsid w:val="002833FD"/>
    <w:rsid w:val="00647B82"/>
    <w:rsid w:val="00651F1E"/>
    <w:rsid w:val="00726BCB"/>
    <w:rsid w:val="00AB1213"/>
    <w:rsid w:val="00C45F07"/>
    <w:rsid w:val="00CA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5E078"/>
  <w15:chartTrackingRefBased/>
  <w15:docId w15:val="{16A30E10-20D0-4F65-930C-890A5EE9F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6BC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A56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808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Volcano TG</dc:creator>
  <cp:keywords/>
  <dc:description/>
  <cp:lastModifiedBy>Volcano TG</cp:lastModifiedBy>
  <cp:revision>2</cp:revision>
  <dcterms:created xsi:type="dcterms:W3CDTF">2023-03-09T00:42:00Z</dcterms:created>
  <dcterms:modified xsi:type="dcterms:W3CDTF">2023-03-09T02:06:00Z</dcterms:modified>
</cp:coreProperties>
</file>