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E2367" w14:textId="778166E4" w:rsidR="005E265E" w:rsidRDefault="00530EE7" w:rsidP="00530EE7">
      <w:pPr>
        <w:jc w:val="center"/>
        <w:rPr>
          <w:b/>
          <w:lang w:val="ru-RU"/>
        </w:rPr>
      </w:pPr>
      <w:r>
        <w:rPr>
          <w:b/>
          <w:lang w:val="ru-RU"/>
        </w:rPr>
        <w:t>Расчётные нагрузки</w:t>
      </w:r>
    </w:p>
    <w:p w14:paraId="3A552374" w14:textId="598861E7" w:rsidR="00530EE7" w:rsidRDefault="00530EE7" w:rsidP="00530EE7">
      <w:pPr>
        <w:rPr>
          <w:lang w:val="ru-RU"/>
        </w:rPr>
      </w:pPr>
      <w:r>
        <w:rPr>
          <w:lang w:val="ru-RU"/>
        </w:rPr>
        <w:t>Для долговечного и эффективного использования портовых машин в процессе эксплуатации необходимо знать расчётные нагрузки на все металлоконструкции и механизмы.</w:t>
      </w:r>
    </w:p>
    <w:p w14:paraId="48981E8B" w14:textId="072EF15E" w:rsidR="00852FE7" w:rsidRDefault="00530EE7" w:rsidP="00530EE7">
      <w:pPr>
        <w:rPr>
          <w:lang w:val="ru-RU"/>
        </w:rPr>
      </w:pPr>
      <w:r>
        <w:rPr>
          <w:lang w:val="ru-RU"/>
        </w:rPr>
        <w:t xml:space="preserve">Следует особо отметить, что большинство нагрузок предусматривается </w:t>
      </w:r>
      <w:r w:rsidR="00852FE7">
        <w:rPr>
          <w:lang w:val="ru-RU"/>
        </w:rPr>
        <w:t>при создании вышеназванных машин. В этот же момент определяют наиболее опасные их сочетания и по ним производят расчёты на прочность и сопротивление «усталости».</w:t>
      </w:r>
    </w:p>
    <w:p w14:paraId="6D62DA6D" w14:textId="6C6F3F70" w:rsidR="00B00851" w:rsidRDefault="00852FE7" w:rsidP="00530EE7">
      <w:pPr>
        <w:rPr>
          <w:lang w:val="ru-RU"/>
        </w:rPr>
      </w:pPr>
      <w:r>
        <w:rPr>
          <w:lang w:val="ru-RU"/>
        </w:rPr>
        <w:t>Инерционные нагрузки – нагрузки, которые возникают при ударах, толчках и неустановившемся режиме работ. При вращении поворотной части крана</w:t>
      </w:r>
      <w:r w:rsidR="00B00851">
        <w:rPr>
          <w:lang w:val="ru-RU"/>
        </w:rPr>
        <w:t xml:space="preserve"> во время разгона и торможения при подъёме груза силы инерции ограничиваются соответствующей муфтой предельного момента. Но что самое важное при учёте этих нагрузок, необходимо учитывать гибкий подвес груза у кранов. (см. рис. 1)</w:t>
      </w:r>
    </w:p>
    <w:p w14:paraId="02E1AA3F" w14:textId="446E4E88" w:rsidR="00B00851" w:rsidRDefault="00B00851" w:rsidP="00530EE7">
      <w:pPr>
        <w:rPr>
          <w:lang w:val="ru-RU"/>
        </w:rPr>
      </w:pPr>
      <w:r w:rsidRPr="00B00851">
        <w:rPr>
          <w:lang w:val="ru-RU"/>
        </w:rPr>
        <w:drawing>
          <wp:inline distT="0" distB="0" distL="0" distR="0" wp14:anchorId="3FD761A3" wp14:editId="31DC10E9">
            <wp:extent cx="5940425" cy="6118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8AB7" w14:textId="0E4BB086" w:rsidR="005208E1" w:rsidRDefault="005208E1" w:rsidP="00530EE7">
      <w:pPr>
        <w:rPr>
          <w:lang w:val="ru-RU"/>
        </w:rPr>
      </w:pPr>
      <w:r>
        <w:rPr>
          <w:lang w:val="ru-RU"/>
        </w:rPr>
        <w:t xml:space="preserve">Транспортные нагрузки как правило достигают </w:t>
      </w:r>
      <w:r w:rsidR="00A34EFB">
        <w:rPr>
          <w:lang w:val="ru-RU"/>
        </w:rPr>
        <w:t xml:space="preserve">от 50% до 100% собственного веса перевозимой конструкции. Монтажные нагрузки определяются расчётным путём при составлении проекта монтажа. Весовые нагрузки рассматриваются в сочетании с прочими и зависят от условий эксплуатации. Здесь применима формула </w:t>
      </w:r>
    </w:p>
    <w:p w14:paraId="08BFCC2A" w14:textId="3C716B5A" w:rsidR="00A34EFB" w:rsidRPr="00A34EFB" w:rsidRDefault="00A34EFB" w:rsidP="001221C6">
      <w:pPr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G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g ×m</m:t>
        </m:r>
      </m:oMath>
      <w:r w:rsidRPr="00A34EFB">
        <w:rPr>
          <w:rFonts w:eastAsiaTheme="minorEastAsia"/>
          <w:lang w:val="ru-RU"/>
        </w:rPr>
        <w:t xml:space="preserve">; </w:t>
      </w:r>
      <w:r>
        <w:rPr>
          <w:rFonts w:eastAsiaTheme="minorEastAsia"/>
          <w:lang w:val="en-AU"/>
        </w:rPr>
        <w:t>m</w:t>
      </w:r>
      <w:r w:rsidRPr="00A34EF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A34EF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масса, </w:t>
      </w:r>
      <w:r>
        <w:rPr>
          <w:rFonts w:eastAsiaTheme="minorEastAsia"/>
          <w:lang w:val="en-AU"/>
        </w:rPr>
        <w:t>g</w:t>
      </w:r>
      <w:r w:rsidRPr="00A34EF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A34EF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ускорение свободного падения.</w:t>
      </w:r>
    </w:p>
    <w:p w14:paraId="69445993" w14:textId="60D64DB6" w:rsidR="00852FE7" w:rsidRDefault="00A34EFB" w:rsidP="00530EE7">
      <w:pPr>
        <w:rPr>
          <w:lang w:val="ru-RU"/>
        </w:rPr>
      </w:pPr>
      <w:r>
        <w:rPr>
          <w:lang w:val="ru-RU"/>
        </w:rPr>
        <w:lastRenderedPageBreak/>
        <w:t>Грузоподъёмностью машины называют массу номинального рабочего груза</w:t>
      </w:r>
      <w:r w:rsidRPr="00A34EFB">
        <w:rPr>
          <w:lang w:val="ru-RU"/>
        </w:rPr>
        <w:t xml:space="preserve">, </w:t>
      </w:r>
      <w:r>
        <w:rPr>
          <w:lang w:val="ru-RU"/>
        </w:rPr>
        <w:t>на подъём которого рассчитана машина.</w:t>
      </w:r>
    </w:p>
    <w:p w14:paraId="187018BC" w14:textId="2170231A" w:rsidR="00A34EFB" w:rsidRDefault="00A34EFB" w:rsidP="00530EE7">
      <w:pPr>
        <w:rPr>
          <w:lang w:val="ru-RU"/>
        </w:rPr>
      </w:pPr>
      <w:r>
        <w:rPr>
          <w:lang w:val="ru-RU"/>
        </w:rPr>
        <w:t>Для грузоподъёмных машин возможно три основных комбинации нагрузок.</w:t>
      </w:r>
    </w:p>
    <w:p w14:paraId="65FF5191" w14:textId="611A21FD" w:rsidR="00A34EFB" w:rsidRDefault="00A34EFB" w:rsidP="00A34EFB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Нормальная нагрузка рабочего состояния (номинальная нагрузка)</w:t>
      </w:r>
    </w:p>
    <w:p w14:paraId="6D0C723F" w14:textId="636D4A45" w:rsidR="00A34EFB" w:rsidRDefault="001221C6" w:rsidP="00A34EFB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Максимальная нагрузка (нагрузка, которую может испытывать машина т.е. поднять максимальный груз за короткий промежуток времени)</w:t>
      </w:r>
    </w:p>
    <w:p w14:paraId="72C71381" w14:textId="4ACA157F" w:rsidR="001221C6" w:rsidRDefault="00043C82" w:rsidP="00A34EFB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Нагрузка нерабочего состояния (которая может возникать при неблагоприятных климатических условиях.</w:t>
      </w:r>
    </w:p>
    <w:p w14:paraId="45A77963" w14:textId="41563869" w:rsidR="00043C82" w:rsidRDefault="00043C82" w:rsidP="00043C82">
      <w:pPr>
        <w:rPr>
          <w:lang w:val="ru-RU"/>
        </w:rPr>
      </w:pPr>
      <w:r>
        <w:rPr>
          <w:lang w:val="ru-RU"/>
        </w:rPr>
        <w:t>Рассмотрим диаграммы режимов работ грузоподъёмных машин</w:t>
      </w:r>
    </w:p>
    <w:p w14:paraId="4B74D087" w14:textId="438928C4" w:rsidR="00043C82" w:rsidRPr="00043C82" w:rsidRDefault="00043C82" w:rsidP="00043C82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Л - лёгкий режим</w:t>
      </w:r>
    </w:p>
    <w:p w14:paraId="3ABF26E8" w14:textId="5DAF24B4" w:rsidR="00043C82" w:rsidRDefault="00043C82" w:rsidP="00043C82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С – средний режим</w:t>
      </w:r>
    </w:p>
    <w:p w14:paraId="10DD8D5A" w14:textId="1BC27F6A" w:rsidR="00043C82" w:rsidRDefault="00043C82" w:rsidP="00043C82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Т – тяжёлый режим</w:t>
      </w:r>
    </w:p>
    <w:p w14:paraId="4A130877" w14:textId="297CA0D8" w:rsidR="008A7E89" w:rsidRDefault="008A7E89" w:rsidP="008A7E89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Материалы во многом определяют</w:t>
      </w:r>
      <w:r w:rsidRPr="008A7E89">
        <w:rPr>
          <w:lang w:val="ru-RU"/>
        </w:rPr>
        <w:t xml:space="preserve"> </w:t>
      </w:r>
      <w:r>
        <w:rPr>
          <w:lang w:val="ru-RU"/>
        </w:rPr>
        <w:t>ВТ – весьма тяжёлый режим</w:t>
      </w:r>
    </w:p>
    <w:p w14:paraId="57388CCE" w14:textId="77777777" w:rsidR="008A7E89" w:rsidRDefault="008A7E89" w:rsidP="008A7E89">
      <w:pPr>
        <w:rPr>
          <w:lang w:val="ru-RU"/>
        </w:rPr>
      </w:pPr>
      <w:r w:rsidRPr="00043C82">
        <w:rPr>
          <w:lang w:val="ru-RU"/>
        </w:rPr>
        <w:drawing>
          <wp:inline distT="0" distB="0" distL="0" distR="0" wp14:anchorId="258AC8FD" wp14:editId="584D532C">
            <wp:extent cx="5940425" cy="1692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90EE" w14:textId="2D333A7D" w:rsidR="008A7E89" w:rsidRDefault="008A7E89" w:rsidP="00BA076C">
      <w:pPr>
        <w:jc w:val="center"/>
        <w:rPr>
          <w:b/>
          <w:lang w:val="ru-RU"/>
        </w:rPr>
      </w:pPr>
      <w:r w:rsidRPr="008A7E89">
        <w:rPr>
          <w:b/>
          <w:lang w:val="ru-RU"/>
        </w:rPr>
        <w:t>Материалы, детали машин и грузонесущие элементы</w:t>
      </w:r>
    </w:p>
    <w:p w14:paraId="3BD44FFB" w14:textId="24A220BD" w:rsidR="008A7E89" w:rsidRDefault="008A7E89" w:rsidP="00BA076C">
      <w:pPr>
        <w:ind w:firstLine="567"/>
        <w:rPr>
          <w:lang w:val="ru-RU"/>
        </w:rPr>
      </w:pPr>
      <w:r w:rsidRPr="008A7E89">
        <w:rPr>
          <w:lang w:val="ru-RU"/>
        </w:rPr>
        <w:t>Материалы во многом определяют надёжность</w:t>
      </w:r>
      <w:r>
        <w:rPr>
          <w:lang w:val="ru-RU"/>
        </w:rPr>
        <w:t>, работоспособность</w:t>
      </w:r>
      <w:r w:rsidRPr="008A7E89">
        <w:rPr>
          <w:lang w:val="ru-RU"/>
        </w:rPr>
        <w:t xml:space="preserve"> и стоимость портовых машин. Для изготовления механизмов и их металлоконструкций в основном используется сталь</w:t>
      </w:r>
      <w:r>
        <w:rPr>
          <w:lang w:val="ru-RU"/>
        </w:rPr>
        <w:t>. Сама же марка стали должна соответствовать условиям эксплуатации машин и технологическим требованиям, определяющим долговечность деталей и конструкций.</w:t>
      </w:r>
    </w:p>
    <w:p w14:paraId="7ACEAB61" w14:textId="64F04212" w:rsidR="00502EA8" w:rsidRDefault="006C6CD8" w:rsidP="00BA076C">
      <w:pPr>
        <w:ind w:firstLine="567"/>
        <w:rPr>
          <w:lang w:val="ru-RU"/>
        </w:rPr>
      </w:pPr>
      <w:r>
        <w:rPr>
          <w:lang w:val="ru-RU"/>
        </w:rPr>
        <w:t xml:space="preserve">Следует отметить, что детали, подверженные усталостным явлениям должны иметь высокий класс чистоты поверхности, а также упрочнение поверхностного слоя закалкой или </w:t>
      </w:r>
      <w:proofErr w:type="spellStart"/>
      <w:r>
        <w:rPr>
          <w:lang w:val="ru-RU"/>
        </w:rPr>
        <w:t>дробеслойным</w:t>
      </w:r>
      <w:proofErr w:type="spellEnd"/>
      <w:r>
        <w:rPr>
          <w:lang w:val="ru-RU"/>
        </w:rPr>
        <w:t xml:space="preserve"> наклёпом.</w:t>
      </w:r>
      <w:bookmarkStart w:id="0" w:name="_GoBack"/>
      <w:bookmarkEnd w:id="0"/>
    </w:p>
    <w:p w14:paraId="3C94047F" w14:textId="77777777" w:rsidR="00BA076C" w:rsidRPr="008A7E89" w:rsidRDefault="00BA076C" w:rsidP="008A7E89">
      <w:pPr>
        <w:rPr>
          <w:b/>
          <w:lang w:val="ru-RU"/>
        </w:rPr>
      </w:pPr>
    </w:p>
    <w:sectPr w:rsidR="00BA076C" w:rsidRPr="008A7E89" w:rsidSect="007B7E0B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68A"/>
    <w:multiLevelType w:val="hybridMultilevel"/>
    <w:tmpl w:val="171009A4"/>
    <w:lvl w:ilvl="0" w:tplc="C144DC4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E9350A5"/>
    <w:multiLevelType w:val="hybridMultilevel"/>
    <w:tmpl w:val="1BA03D8A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C3D04BF"/>
    <w:multiLevelType w:val="hybridMultilevel"/>
    <w:tmpl w:val="A00C97FC"/>
    <w:lvl w:ilvl="0" w:tplc="EC540C3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934443C"/>
    <w:multiLevelType w:val="hybridMultilevel"/>
    <w:tmpl w:val="0D443440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409B3C15"/>
    <w:multiLevelType w:val="hybridMultilevel"/>
    <w:tmpl w:val="119009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443E4"/>
    <w:multiLevelType w:val="hybridMultilevel"/>
    <w:tmpl w:val="767CCEFC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651D48E8"/>
    <w:multiLevelType w:val="hybridMultilevel"/>
    <w:tmpl w:val="44527E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355EA"/>
    <w:multiLevelType w:val="hybridMultilevel"/>
    <w:tmpl w:val="5F5806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6E"/>
    <w:rsid w:val="00030BC7"/>
    <w:rsid w:val="00043C82"/>
    <w:rsid w:val="001221C6"/>
    <w:rsid w:val="00145EB6"/>
    <w:rsid w:val="001A3A3A"/>
    <w:rsid w:val="002F16AC"/>
    <w:rsid w:val="003E1482"/>
    <w:rsid w:val="004745AE"/>
    <w:rsid w:val="00502EA8"/>
    <w:rsid w:val="005208E1"/>
    <w:rsid w:val="00530EE7"/>
    <w:rsid w:val="005E265E"/>
    <w:rsid w:val="006211E4"/>
    <w:rsid w:val="00651FCC"/>
    <w:rsid w:val="006C6CD8"/>
    <w:rsid w:val="007B7E0B"/>
    <w:rsid w:val="007F6C5B"/>
    <w:rsid w:val="00833532"/>
    <w:rsid w:val="00852FE7"/>
    <w:rsid w:val="008A7E89"/>
    <w:rsid w:val="008B6AEC"/>
    <w:rsid w:val="009E40F7"/>
    <w:rsid w:val="00A34EFB"/>
    <w:rsid w:val="00B00851"/>
    <w:rsid w:val="00B02857"/>
    <w:rsid w:val="00B42A95"/>
    <w:rsid w:val="00B85164"/>
    <w:rsid w:val="00BA076C"/>
    <w:rsid w:val="00CA107F"/>
    <w:rsid w:val="00CD396E"/>
    <w:rsid w:val="00D31015"/>
    <w:rsid w:val="00D65C1D"/>
    <w:rsid w:val="00ED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893D"/>
  <w15:chartTrackingRefBased/>
  <w15:docId w15:val="{93F9999A-4CD2-4C61-9F48-D721D9CE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2A95"/>
    <w:rPr>
      <w:color w:val="808080"/>
    </w:rPr>
  </w:style>
  <w:style w:type="paragraph" w:styleId="a4">
    <w:name w:val="List Paragraph"/>
    <w:basedOn w:val="a"/>
    <w:uiPriority w:val="34"/>
    <w:qFormat/>
    <w:rsid w:val="00651FCC"/>
    <w:pPr>
      <w:ind w:left="720"/>
      <w:contextualSpacing/>
    </w:pPr>
  </w:style>
  <w:style w:type="table" w:styleId="a5">
    <w:name w:val="Table Grid"/>
    <w:basedOn w:val="a1"/>
    <w:uiPriority w:val="39"/>
    <w:rsid w:val="00833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B69EA-6452-460D-9A5E-F6D19029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Volcano TG</cp:lastModifiedBy>
  <cp:revision>19</cp:revision>
  <dcterms:created xsi:type="dcterms:W3CDTF">2023-02-17T00:57:00Z</dcterms:created>
  <dcterms:modified xsi:type="dcterms:W3CDTF">2023-02-28T02:09:00Z</dcterms:modified>
</cp:coreProperties>
</file>