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300"/>
        <w:jc w:val="center"/>
      </w:pPr>
      <w:r>
        <w:rPr>
          <w:rFonts w:ascii="Arial" w:cs="Arial" w:eastAsia="Arial" w:hAnsi="Arial"/>
          <w:b/>
          <w:bCs/>
          <w:color w:val="1F3864"/>
          <w:sz w:val="40"/>
          <w:szCs w:val="40"/>
        </w:rPr>
        <w:t xml:space="preserve">High-Level Functional Requirements</w:t>
      </w:r>
    </w:p>
    <w:p>
      <w:pPr>
        <w:pBdr>
          <w:bottom w:val="single" w:color="2E5597" w:sz="8" w:space="8"/>
        </w:pBdr>
        <w:spacing w:after="360"/>
        <w:jc w:val="center"/>
      </w:pPr>
      <w:r>
        <w:rPr>
          <w:rFonts w:ascii="Arial" w:cs="Arial" w:eastAsia="Arial" w:hAnsi="Arial"/>
          <w:color w:val="2E5597"/>
          <w:sz w:val="30"/>
          <w:szCs w:val="30"/>
        </w:rPr>
        <w:t xml:space="preserve">Citizen Service Center Management Web System</w:t>
      </w:r>
    </w:p>
    <w:p>
      <w:pPr>
        <w:pStyle w:val="Heading1"/>
      </w:pPr>
      <w:r>
        <w:rPr>
          <w:rFonts w:ascii="Arial" w:cs="Arial" w:eastAsia="Arial" w:hAnsi="Arial"/>
        </w:rPr>
        <w:t xml:space="preserve">Actors</w:t>
      </w:r>
    </w:p>
    <w:p>
      <w:pPr>
        <w:pStyle w:val="ListParagraph"/>
        <w:numPr>
          <w:ilvl w:val="0"/>
          <w:numId w:val="2"/>
        </w:numPr>
        <w:spacing w:after="50" w:line="290"/>
        <w:jc w:val="both"/>
      </w:pPr>
      <w:r>
        <w:rPr>
          <w:rFonts w:ascii="Arial" w:cs="Arial" w:eastAsia="Arial" w:hAnsi="Arial"/>
          <w:b/>
          <w:bCs/>
          <w:sz w:val="22"/>
          <w:szCs w:val="22"/>
        </w:rPr>
        <w:t xml:space="preserve">Citizen:</w:t>
      </w:r>
      <w:r>
        <w:rPr>
          <w:rFonts w:ascii="Arial" w:cs="Arial" w:eastAsia="Arial" w:hAnsi="Arial"/>
          <w:sz w:val="22"/>
          <w:szCs w:val="22"/>
        </w:rPr>
        <w:t xml:space="preserve"> Requests transactions: creates an account directly while uploading both ID card images, submits requests, pays their fees and tracks them, rates the service and submits complaints. Sees only their own requests.</w:t>
      </w:r>
    </w:p>
    <w:p>
      <w:pPr>
        <w:pStyle w:val="ListParagraph"/>
        <w:numPr>
          <w:ilvl w:val="0"/>
          <w:numId w:val="2"/>
        </w:numPr>
        <w:spacing w:after="50" w:line="290"/>
        <w:jc w:val="both"/>
      </w:pPr>
      <w:r>
        <w:rPr>
          <w:rFonts w:ascii="Arial" w:cs="Arial" w:eastAsia="Arial" w:hAnsi="Arial"/>
          <w:b/>
          <w:bCs/>
          <w:sz w:val="22"/>
          <w:szCs w:val="22"/>
        </w:rPr>
        <w:t xml:space="preserve">Employee:</w:t>
      </w:r>
      <w:r>
        <w:rPr>
          <w:rFonts w:ascii="Arial" w:cs="Arial" w:eastAsia="Arial" w:hAnsi="Arial"/>
          <w:sz w:val="22"/>
          <w:szCs w:val="22"/>
        </w:rPr>
        <w:t xml:space="preserve"> Processes the requests of their own department only: takes them, reviews them, requests missing items and changes their status until completion or rejection. Cannot see the requests of other departments or the complaints filed against them. Views the citizen's ID card images when processing the citizen's request.</w:t>
      </w:r>
    </w:p>
    <w:p>
      <w:pPr>
        <w:pStyle w:val="ListParagraph"/>
        <w:numPr>
          <w:ilvl w:val="0"/>
          <w:numId w:val="2"/>
        </w:numPr>
        <w:spacing w:after="50" w:line="290"/>
        <w:jc w:val="both"/>
      </w:pPr>
      <w:r>
        <w:rPr>
          <w:rFonts w:ascii="Arial" w:cs="Arial" w:eastAsia="Arial" w:hAnsi="Arial"/>
          <w:b/>
          <w:bCs/>
          <w:sz w:val="22"/>
          <w:szCs w:val="22"/>
        </w:rPr>
        <w:t xml:space="preserve">Department Manager:</w:t>
      </w:r>
      <w:r>
        <w:rPr>
          <w:rFonts w:ascii="Arial" w:cs="Arial" w:eastAsia="Arial" w:hAnsi="Arial"/>
          <w:sz w:val="22"/>
          <w:szCs w:val="22"/>
        </w:rPr>
        <w:t xml:space="preserve"> Manages one department (such as the Municipality: rental contracts and similar transactions); a department may have more than one manager with the same permissions. Creates and manages the accounts of the department's employees, creates the department's transactions and customizes their requirements, follows the department's requests, performance indicators and employee activity log, and handles complaints filed against its employees. Their authority is limited to their department.</w:t>
      </w:r>
    </w:p>
    <w:p>
      <w:pPr>
        <w:pStyle w:val="ListParagraph"/>
        <w:numPr>
          <w:ilvl w:val="0"/>
          <w:numId w:val="2"/>
        </w:numPr>
        <w:spacing w:after="50" w:line="290"/>
        <w:jc w:val="both"/>
      </w:pPr>
      <w:r>
        <w:rPr>
          <w:rFonts w:ascii="Arial" w:cs="Arial" w:eastAsia="Arial" w:hAnsi="Arial"/>
          <w:b/>
          <w:bCs/>
          <w:sz w:val="22"/>
          <w:szCs w:val="22"/>
        </w:rPr>
        <w:t xml:space="preserve">System Administrator:</w:t>
      </w:r>
      <w:r>
        <w:rPr>
          <w:rFonts w:ascii="Arial" w:cs="Arial" w:eastAsia="Arial" w:hAnsi="Arial"/>
          <w:sz w:val="22"/>
          <w:szCs w:val="22"/>
        </w:rPr>
        <w:t xml:space="preserve"> Manages the whole system: creates, modifies, suspends and deletes departments dynamically, creates Department Manager accounts and assigns each manager to a department (one or more managers per department), views all departments, requests, indicators and logs, handles complaints filed against Department Managers, and configures the system settings. No account is above it, and it cannot be created from the public interface.</w:t>
      </w:r>
    </w:p>
    <w:p>
      <w:pPr>
        <w:pStyle w:val="ListParagraph"/>
        <w:numPr>
          <w:ilvl w:val="0"/>
          <w:numId w:val="2"/>
        </w:numPr>
        <w:spacing w:after="50" w:line="290"/>
        <w:jc w:val="both"/>
      </w:pPr>
      <w:r>
        <w:rPr>
          <w:rFonts w:ascii="Arial" w:cs="Arial" w:eastAsia="Arial" w:hAnsi="Arial"/>
          <w:b/>
          <w:bCs/>
          <w:sz w:val="22"/>
          <w:szCs w:val="22"/>
        </w:rPr>
        <w:t xml:space="preserve">System:</w:t>
      </w:r>
      <w:r>
        <w:rPr>
          <w:rFonts w:ascii="Arial" w:cs="Arial" w:eastAsia="Arial" w:hAnsi="Arial"/>
          <w:sz w:val="22"/>
          <w:szCs w:val="22"/>
        </w:rPr>
        <w:t xml:space="preserve"> stated as the actor of operations performed automatically without user intervention (generating the reference number, notifications, payment confirmation, enforcing permissions).</w:t>
      </w:r>
    </w:p>
    <w:p>
      <w:pPr>
        <w:pStyle w:val="Heading1"/>
      </w:pPr>
      <w:r>
        <w:rPr>
          <w:rFonts w:ascii="Arial" w:cs="Arial" w:eastAsia="Arial" w:hAnsi="Arial"/>
        </w:rPr>
        <w:t xml:space="preserve">Table Legend</w:t>
      </w:r>
    </w:p>
    <w:p>
      <w:pPr>
        <w:pStyle w:val="ListParagraph"/>
        <w:numPr>
          <w:ilvl w:val="0"/>
          <w:numId w:val="2"/>
        </w:numPr>
        <w:spacing w:after="50" w:line="290"/>
        <w:jc w:val="both"/>
      </w:pPr>
      <w:r>
        <w:rPr>
          <w:rFonts w:ascii="Arial" w:cs="Arial" w:eastAsia="Arial" w:hAnsi="Arial"/>
          <w:b/>
          <w:bCs/>
          <w:sz w:val="22"/>
          <w:szCs w:val="22"/>
        </w:rPr>
        <w:t xml:space="preserve">Requirement ID:</w:t>
      </w:r>
      <w:r>
        <w:rPr>
          <w:rFonts w:ascii="Arial" w:cs="Arial" w:eastAsia="Arial" w:hAnsi="Arial"/>
          <w:sz w:val="22"/>
          <w:szCs w:val="22"/>
        </w:rPr>
        <w:t xml:space="preserve"> in the form HFR-NUMBER; each ID represents a main capability of the system.</w:t>
      </w:r>
    </w:p>
    <w:p>
      <w:pPr>
        <w:pStyle w:val="ListParagraph"/>
        <w:numPr>
          <w:ilvl w:val="0"/>
          <w:numId w:val="2"/>
        </w:numPr>
        <w:spacing w:after="50" w:line="290"/>
        <w:jc w:val="both"/>
      </w:pPr>
      <w:r>
        <w:rPr>
          <w:rFonts w:ascii="Arial" w:cs="Arial" w:eastAsia="Arial" w:hAnsi="Arial"/>
          <w:b/>
          <w:bCs/>
          <w:sz w:val="22"/>
          <w:szCs w:val="22"/>
        </w:rPr>
        <w:t xml:space="preserve">Detailed Requirements:</w:t>
      </w:r>
      <w:r>
        <w:rPr>
          <w:rFonts w:ascii="Arial" w:cs="Arial" w:eastAsia="Arial" w:hAnsi="Arial"/>
          <w:sz w:val="22"/>
          <w:szCs w:val="22"/>
        </w:rPr>
        <w:t xml:space="preserve"> the range of requirement IDs it covers in the "Functional Requirements" document, ensuring traceability between the two levels.</w:t>
      </w:r>
    </w:p>
    <w:p>
      <w:pPr>
        <w:pStyle w:val="ListParagraph"/>
        <w:numPr>
          <w:ilvl w:val="0"/>
          <w:numId w:val="2"/>
        </w:numPr>
        <w:spacing w:after="50" w:line="290"/>
        <w:jc w:val="both"/>
      </w:pPr>
      <w:r>
        <w:rPr>
          <w:rFonts w:ascii="Arial" w:cs="Arial" w:eastAsia="Arial" w:hAnsi="Arial"/>
          <w:b/>
          <w:bCs/>
          <w:sz w:val="22"/>
          <w:szCs w:val="22"/>
        </w:rPr>
        <w:t xml:space="preserve">High:</w:t>
      </w:r>
      <w:r>
        <w:rPr>
          <w:rFonts w:ascii="Arial" w:cs="Arial" w:eastAsia="Arial" w:hAnsi="Arial"/>
          <w:sz w:val="22"/>
          <w:szCs w:val="22"/>
        </w:rPr>
        <w:t xml:space="preserve"> an essential capability without which the system does not work; implemented in the first release.</w:t>
      </w:r>
    </w:p>
    <w:p>
      <w:pPr>
        <w:pStyle w:val="ListParagraph"/>
        <w:numPr>
          <w:ilvl w:val="0"/>
          <w:numId w:val="2"/>
        </w:numPr>
        <w:spacing w:after="50" w:line="290"/>
        <w:jc w:val="both"/>
      </w:pPr>
      <w:r>
        <w:rPr>
          <w:rFonts w:ascii="Arial" w:cs="Arial" w:eastAsia="Arial" w:hAnsi="Arial"/>
          <w:b/>
          <w:bCs/>
          <w:sz w:val="22"/>
          <w:szCs w:val="22"/>
        </w:rPr>
        <w:t xml:space="preserve">Medium:</w:t>
      </w:r>
      <w:r>
        <w:rPr>
          <w:rFonts w:ascii="Arial" w:cs="Arial" w:eastAsia="Arial" w:hAnsi="Arial"/>
          <w:sz w:val="22"/>
          <w:szCs w:val="22"/>
        </w:rPr>
        <w:t xml:space="preserve"> an important capability for completing the system; implemented after the high-priority capabilities.</w:t>
      </w:r>
    </w:p>
    <w:p>
      <w:pPr>
        <w:spacing w:after="140" w:line="320"/>
        <w:jc w:val="both"/>
      </w:pPr>
      <w:r>
        <w:rPr>
          <w:rFonts w:ascii="Arial" w:cs="Arial" w:eastAsia="Arial" w:hAnsi="Arial"/>
          <w:b/>
          <w:bCs/>
        </w:rPr>
        <w:t xml:space="preserve">Number of requirements: 18 requirements (High: 16, Medium: 2).</w:t>
      </w:r>
    </w:p>
    <w:p>
      <w:pPr>
        <w:pStyle w:val="Heading1"/>
      </w:pPr>
      <w:r>
        <w:rPr>
          <w:rFonts w:ascii="Arial" w:cs="Arial" w:eastAsia="Arial" w:hAnsi="Arial"/>
        </w:rPr>
        <w:t xml:space="preserve">High-Level Functional Requirements Table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05"/>
        <w:gridCol w:w="1629"/>
        <w:gridCol w:w="3126"/>
        <w:gridCol w:w="1493"/>
        <w:gridCol w:w="860"/>
        <w:gridCol w:w="1493"/>
      </w:tblGrid>
      <w:tr>
        <w:trPr>
          <w:tblHeader/>
        </w:trPr>
        <w:tc>
          <w:tcPr>
            <w:tcW w:type="dxa" w:w="905"/>
            <w:tcBorders>
              <w:top w:val="single" w:color="8EAADB" w:sz="4"/>
              <w:left w:val="single" w:color="8EAADB" w:sz="4"/>
              <w:bottom w:val="single" w:color="8EAADB" w:sz="4"/>
              <w:right w:val="single" w:color="8EAADB" w:sz="4"/>
            </w:tcBorders>
            <w:shd w:fill="1F3864" w:color="auto" w:val="clear"/>
            <w:tcMar>
              <w:top w:type="dxa" w:w="60"/>
              <w:left w:type="dxa" w:w="80"/>
              <w:bottom w:type="dxa" w:w="60"/>
              <w:right w:type="dxa" w:w="80"/>
            </w:tcMar>
            <w:vAlign w:val="center"/>
          </w:tcPr>
          <w:p>
            <w:pPr>
              <w:spacing w:line="250"/>
              <w:jc w:val="center"/>
            </w:pPr>
            <w:r>
              <w:rPr>
                <w:rFonts w:ascii="Arial" w:cs="Arial" w:eastAsia="Arial" w:hAnsi="Arial"/>
                <w:b/>
                <w:bCs/>
                <w:color w:val="FFFFFF"/>
                <w:sz w:val="18"/>
                <w:szCs w:val="18"/>
              </w:rPr>
              <w:t xml:space="preserve">Requirement ID</w:t>
            </w:r>
          </w:p>
        </w:tc>
        <w:tc>
          <w:tcPr>
            <w:tcW w:type="dxa" w:w="1629"/>
            <w:tcBorders>
              <w:top w:val="single" w:color="8EAADB" w:sz="4"/>
              <w:left w:val="single" w:color="8EAADB" w:sz="4"/>
              <w:bottom w:val="single" w:color="8EAADB" w:sz="4"/>
              <w:right w:val="single" w:color="8EAADB" w:sz="4"/>
            </w:tcBorders>
            <w:shd w:fill="1F3864" w:color="auto" w:val="clear"/>
            <w:tcMar>
              <w:top w:type="dxa" w:w="60"/>
              <w:left w:type="dxa" w:w="80"/>
              <w:bottom w:type="dxa" w:w="60"/>
              <w:right w:type="dxa" w:w="80"/>
            </w:tcMar>
            <w:vAlign w:val="center"/>
          </w:tcPr>
          <w:p>
            <w:pPr>
              <w:spacing w:line="250"/>
              <w:jc w:val="center"/>
            </w:pPr>
            <w:r>
              <w:rPr>
                <w:rFonts w:ascii="Arial" w:cs="Arial" w:eastAsia="Arial" w:hAnsi="Arial"/>
                <w:b/>
                <w:bCs/>
                <w:color w:val="FFFFFF"/>
                <w:sz w:val="18"/>
                <w:szCs w:val="18"/>
              </w:rPr>
              <w:t xml:space="preserve">Requirement Name</w:t>
            </w:r>
          </w:p>
        </w:tc>
        <w:tc>
          <w:tcPr>
            <w:tcW w:type="dxa" w:w="3126"/>
            <w:tcBorders>
              <w:top w:val="single" w:color="8EAADB" w:sz="4"/>
              <w:left w:val="single" w:color="8EAADB" w:sz="4"/>
              <w:bottom w:val="single" w:color="8EAADB" w:sz="4"/>
              <w:right w:val="single" w:color="8EAADB" w:sz="4"/>
            </w:tcBorders>
            <w:shd w:fill="1F3864" w:color="auto" w:val="clear"/>
            <w:tcMar>
              <w:top w:type="dxa" w:w="60"/>
              <w:left w:type="dxa" w:w="80"/>
              <w:bottom w:type="dxa" w:w="60"/>
              <w:right w:type="dxa" w:w="80"/>
            </w:tcMar>
            <w:vAlign w:val="center"/>
          </w:tcPr>
          <w:p>
            <w:pPr>
              <w:spacing w:line="250"/>
              <w:jc w:val="center"/>
            </w:pPr>
            <w:r>
              <w:rPr>
                <w:rFonts w:ascii="Arial" w:cs="Arial" w:eastAsia="Arial" w:hAnsi="Arial"/>
                <w:b/>
                <w:bCs/>
                <w:color w:val="FFFFFF"/>
                <w:sz w:val="18"/>
                <w:szCs w:val="18"/>
              </w:rPr>
              <w:t xml:space="preserve">Short Description</w:t>
            </w:r>
          </w:p>
        </w:tc>
        <w:tc>
          <w:tcPr>
            <w:tcW w:type="dxa" w:w="1493"/>
            <w:tcBorders>
              <w:top w:val="single" w:color="8EAADB" w:sz="4"/>
              <w:left w:val="single" w:color="8EAADB" w:sz="4"/>
              <w:bottom w:val="single" w:color="8EAADB" w:sz="4"/>
              <w:right w:val="single" w:color="8EAADB" w:sz="4"/>
            </w:tcBorders>
            <w:shd w:fill="1F3864" w:color="auto" w:val="clear"/>
            <w:tcMar>
              <w:top w:type="dxa" w:w="60"/>
              <w:left w:type="dxa" w:w="80"/>
              <w:bottom w:type="dxa" w:w="60"/>
              <w:right w:type="dxa" w:w="80"/>
            </w:tcMar>
            <w:vAlign w:val="center"/>
          </w:tcPr>
          <w:p>
            <w:pPr>
              <w:spacing w:line="250"/>
              <w:jc w:val="center"/>
            </w:pPr>
            <w:r>
              <w:rPr>
                <w:rFonts w:ascii="Arial" w:cs="Arial" w:eastAsia="Arial" w:hAnsi="Arial"/>
                <w:b/>
                <w:bCs/>
                <w:color w:val="FFFFFF"/>
                <w:sz w:val="18"/>
                <w:szCs w:val="18"/>
              </w:rPr>
              <w:t xml:space="preserve">Actors</w:t>
            </w:r>
          </w:p>
        </w:tc>
        <w:tc>
          <w:tcPr>
            <w:tcW w:type="dxa" w:w="860"/>
            <w:tcBorders>
              <w:top w:val="single" w:color="8EAADB" w:sz="4"/>
              <w:left w:val="single" w:color="8EAADB" w:sz="4"/>
              <w:bottom w:val="single" w:color="8EAADB" w:sz="4"/>
              <w:right w:val="single" w:color="8EAADB" w:sz="4"/>
            </w:tcBorders>
            <w:shd w:fill="1F3864" w:color="auto" w:val="clear"/>
            <w:tcMar>
              <w:top w:type="dxa" w:w="60"/>
              <w:left w:type="dxa" w:w="80"/>
              <w:bottom w:type="dxa" w:w="60"/>
              <w:right w:type="dxa" w:w="80"/>
            </w:tcMar>
            <w:vAlign w:val="center"/>
          </w:tcPr>
          <w:p>
            <w:pPr>
              <w:spacing w:line="250"/>
              <w:jc w:val="center"/>
            </w:pPr>
            <w:r>
              <w:rPr>
                <w:rFonts w:ascii="Arial" w:cs="Arial" w:eastAsia="Arial" w:hAnsi="Arial"/>
                <w:b/>
                <w:bCs/>
                <w:color w:val="FFFFFF"/>
                <w:sz w:val="18"/>
                <w:szCs w:val="18"/>
              </w:rPr>
              <w:t xml:space="preserve">Priority</w:t>
            </w:r>
          </w:p>
        </w:tc>
        <w:tc>
          <w:tcPr>
            <w:tcW w:type="dxa" w:w="1493"/>
            <w:tcBorders>
              <w:top w:val="single" w:color="8EAADB" w:sz="4"/>
              <w:left w:val="single" w:color="8EAADB" w:sz="4"/>
              <w:bottom w:val="single" w:color="8EAADB" w:sz="4"/>
              <w:right w:val="single" w:color="8EAADB" w:sz="4"/>
            </w:tcBorders>
            <w:shd w:fill="1F3864" w:color="auto" w:val="clear"/>
            <w:tcMar>
              <w:top w:type="dxa" w:w="60"/>
              <w:left w:type="dxa" w:w="80"/>
              <w:bottom w:type="dxa" w:w="60"/>
              <w:right w:type="dxa" w:w="80"/>
            </w:tcMar>
            <w:vAlign w:val="center"/>
          </w:tcPr>
          <w:p>
            <w:pPr>
              <w:spacing w:line="250"/>
              <w:jc w:val="center"/>
            </w:pPr>
            <w:r>
              <w:rPr>
                <w:rFonts w:ascii="Arial" w:cs="Arial" w:eastAsia="Arial" w:hAnsi="Arial"/>
                <w:b/>
                <w:bCs/>
                <w:color w:val="FFFFFF"/>
                <w:sz w:val="18"/>
                <w:szCs w:val="18"/>
              </w:rPr>
              <w:t xml:space="preserve">Detailed Requirements</w:t>
            </w:r>
          </w:p>
        </w:tc>
      </w:tr>
      <w:tr>
        <w:trPr>
          <w:cantSplit/>
        </w:trPr>
        <w:tc>
          <w:tcPr>
            <w:tcW w:type="dxa" w:w="905"/>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HFR-01</w:t>
            </w:r>
          </w:p>
        </w:tc>
        <w:tc>
          <w:tcPr>
            <w:tcW w:type="dxa" w:w="1629"/>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Account Management and Authentication</w:t>
            </w:r>
          </w:p>
        </w:tc>
        <w:tc>
          <w:tcPr>
            <w:tcW w:type="dxa" w:w="312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The system lets the citizen create an account directly, and lets all users log in, log out and manage their data, with forgotten passwords reset by management and accounts protected against repeated login attempts.</w:t>
            </w:r>
          </w:p>
        </w:tc>
        <w:tc>
          <w:tcPr>
            <w:tcW w:type="dxa" w:w="1493"/>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All users</w:t>
            </w:r>
          </w:p>
        </w:tc>
        <w:tc>
          <w:tcPr>
            <w:tcW w:type="dxa" w:w="860"/>
            <w:tcBorders>
              <w:top w:val="single" w:color="8EAADB" w:sz="4"/>
              <w:left w:val="single" w:color="8EAADB" w:sz="4"/>
              <w:bottom w:val="single" w:color="8EAADB" w:sz="4"/>
              <w:right w:val="single" w:color="8EAADB" w:sz="4"/>
            </w:tcBorders>
            <w:shd w:fill="F8D7DA"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High</w:t>
            </w:r>
          </w:p>
        </w:tc>
        <w:tc>
          <w:tcPr>
            <w:tcW w:type="dxa" w:w="1493"/>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FR-AUTH-01 – 07</w:t>
            </w:r>
          </w:p>
        </w:tc>
      </w:tr>
      <w:tr>
        <w:trPr>
          <w:cantSplit/>
        </w:trPr>
        <w:tc>
          <w:tcPr>
            <w:tcW w:type="dxa" w:w="905"/>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HFR-02</w:t>
            </w:r>
          </w:p>
        </w:tc>
        <w:tc>
          <w:tcPr>
            <w:tcW w:type="dxa" w:w="1629"/>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Citizen Identity Documents</w:t>
            </w:r>
          </w:p>
        </w:tc>
        <w:tc>
          <w:tcPr>
            <w:tcW w:type="dxa" w:w="312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The citizen uploads both ID card images at registration; they are stored with the account so that the employees of the relevant department can view them when processing the citizen's requests, without a prior review stage.</w:t>
            </w:r>
          </w:p>
        </w:tc>
        <w:tc>
          <w:tcPr>
            <w:tcW w:type="dxa" w:w="1493"/>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Citizen, Employee</w:t>
            </w:r>
          </w:p>
        </w:tc>
        <w:tc>
          <w:tcPr>
            <w:tcW w:type="dxa" w:w="860"/>
            <w:tcBorders>
              <w:top w:val="single" w:color="8EAADB" w:sz="4"/>
              <w:left w:val="single" w:color="8EAADB" w:sz="4"/>
              <w:bottom w:val="single" w:color="8EAADB" w:sz="4"/>
              <w:right w:val="single" w:color="8EAADB" w:sz="4"/>
            </w:tcBorders>
            <w:shd w:fill="F8D7DA"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High</w:t>
            </w:r>
          </w:p>
        </w:tc>
        <w:tc>
          <w:tcPr>
            <w:tcW w:type="dxa" w:w="1493"/>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FR-VER-01 – 02</w:t>
            </w:r>
          </w:p>
        </w:tc>
      </w:tr>
      <w:tr>
        <w:trPr>
          <w:cantSplit/>
        </w:trPr>
        <w:tc>
          <w:tcPr>
            <w:tcW w:type="dxa" w:w="905"/>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HFR-03</w:t>
            </w:r>
          </w:p>
        </w:tc>
        <w:tc>
          <w:tcPr>
            <w:tcW w:type="dxa" w:w="1629"/>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Department Management</w:t>
            </w:r>
          </w:p>
        </w:tc>
        <w:tc>
          <w:tcPr>
            <w:tcW w:type="dxa" w:w="312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The system starts with basic departments (such as the Municipality, Traffic and Civil Registry), and the System Administrator adds, modifies, suspends or deletes departments dynamically and assigns one or more managers to each department.</w:t>
            </w:r>
          </w:p>
        </w:tc>
        <w:tc>
          <w:tcPr>
            <w:tcW w:type="dxa" w:w="1493"/>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System Administrator, System</w:t>
            </w:r>
          </w:p>
        </w:tc>
        <w:tc>
          <w:tcPr>
            <w:tcW w:type="dxa" w:w="860"/>
            <w:tcBorders>
              <w:top w:val="single" w:color="8EAADB" w:sz="4"/>
              <w:left w:val="single" w:color="8EAADB" w:sz="4"/>
              <w:bottom w:val="single" w:color="8EAADB" w:sz="4"/>
              <w:right w:val="single" w:color="8EAADB" w:sz="4"/>
            </w:tcBorders>
            <w:shd w:fill="F8D7DA"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High</w:t>
            </w:r>
          </w:p>
        </w:tc>
        <w:tc>
          <w:tcPr>
            <w:tcW w:type="dxa" w:w="1493"/>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FR-DEP-01 – 07</w:t>
            </w:r>
          </w:p>
        </w:tc>
      </w:tr>
      <w:tr>
        <w:trPr>
          <w:cantSplit/>
        </w:trPr>
        <w:tc>
          <w:tcPr>
            <w:tcW w:type="dxa" w:w="905"/>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HFR-04</w:t>
            </w:r>
          </w:p>
        </w:tc>
        <w:tc>
          <w:tcPr>
            <w:tcW w:type="dxa" w:w="1629"/>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User and Permission Management</w:t>
            </w:r>
          </w:p>
        </w:tc>
        <w:tc>
          <w:tcPr>
            <w:tcW w:type="dxa" w:w="312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Permissions on four levels: the System Administrator creates Department Manager accounts and assigns their departments, and the Department Manager creates and manages the accounts of the department's employees, with each department's data isolated from the others.</w:t>
            </w:r>
          </w:p>
        </w:tc>
        <w:tc>
          <w:tcPr>
            <w:tcW w:type="dxa" w:w="1493"/>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Department Manager, System Administrator</w:t>
            </w:r>
          </w:p>
        </w:tc>
        <w:tc>
          <w:tcPr>
            <w:tcW w:type="dxa" w:w="860"/>
            <w:tcBorders>
              <w:top w:val="single" w:color="8EAADB" w:sz="4"/>
              <w:left w:val="single" w:color="8EAADB" w:sz="4"/>
              <w:bottom w:val="single" w:color="8EAADB" w:sz="4"/>
              <w:right w:val="single" w:color="8EAADB" w:sz="4"/>
            </w:tcBorders>
            <w:shd w:fill="F8D7DA"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High</w:t>
            </w:r>
          </w:p>
        </w:tc>
        <w:tc>
          <w:tcPr>
            <w:tcW w:type="dxa" w:w="1493"/>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FR-USR-01 – 09</w:t>
            </w:r>
          </w:p>
        </w:tc>
      </w:tr>
      <w:tr>
        <w:trPr>
          <w:cantSplit/>
        </w:trPr>
        <w:tc>
          <w:tcPr>
            <w:tcW w:type="dxa" w:w="905"/>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HFR-05</w:t>
            </w:r>
          </w:p>
        </w:tc>
        <w:tc>
          <w:tcPr>
            <w:tcW w:type="dxa" w:w="1629"/>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Dynamic Service Building</w:t>
            </w:r>
          </w:p>
        </w:tc>
        <w:tc>
          <w:tcPr>
            <w:tcW w:type="dxa" w:w="312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The Department Manager creates and customizes the department's transactions without programming, by defining form fields, attachments, fees, stamps and completion time, and the System Administrator supervises the services of all departments.</w:t>
            </w:r>
          </w:p>
        </w:tc>
        <w:tc>
          <w:tcPr>
            <w:tcW w:type="dxa" w:w="1493"/>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Department Manager, System Administrator</w:t>
            </w:r>
          </w:p>
        </w:tc>
        <w:tc>
          <w:tcPr>
            <w:tcW w:type="dxa" w:w="860"/>
            <w:tcBorders>
              <w:top w:val="single" w:color="8EAADB" w:sz="4"/>
              <w:left w:val="single" w:color="8EAADB" w:sz="4"/>
              <w:bottom w:val="single" w:color="8EAADB" w:sz="4"/>
              <w:right w:val="single" w:color="8EAADB" w:sz="4"/>
            </w:tcBorders>
            <w:shd w:fill="F8D7DA"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High</w:t>
            </w:r>
          </w:p>
        </w:tc>
        <w:tc>
          <w:tcPr>
            <w:tcW w:type="dxa" w:w="1493"/>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FR-SRV-01 – 08</w:t>
            </w:r>
          </w:p>
        </w:tc>
      </w:tr>
      <w:tr>
        <w:trPr>
          <w:cantSplit/>
        </w:trPr>
        <w:tc>
          <w:tcPr>
            <w:tcW w:type="dxa" w:w="905"/>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HFR-06</w:t>
            </w:r>
          </w:p>
        </w:tc>
        <w:tc>
          <w:tcPr>
            <w:tcW w:type="dxa" w:w="1629"/>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Service Catalog</w:t>
            </w:r>
          </w:p>
        </w:tc>
        <w:tc>
          <w:tcPr>
            <w:tcW w:type="dxa" w:w="312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The system displays the available services classified by department, with the details of each service (requirements, fees, completion time) before the application starts.</w:t>
            </w:r>
          </w:p>
        </w:tc>
        <w:tc>
          <w:tcPr>
            <w:tcW w:type="dxa" w:w="1493"/>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Citizen</w:t>
            </w:r>
          </w:p>
        </w:tc>
        <w:tc>
          <w:tcPr>
            <w:tcW w:type="dxa" w:w="860"/>
            <w:tcBorders>
              <w:top w:val="single" w:color="8EAADB" w:sz="4"/>
              <w:left w:val="single" w:color="8EAADB" w:sz="4"/>
              <w:bottom w:val="single" w:color="8EAADB" w:sz="4"/>
              <w:right w:val="single" w:color="8EAADB" w:sz="4"/>
            </w:tcBorders>
            <w:shd w:fill="F8D7DA"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High</w:t>
            </w:r>
          </w:p>
        </w:tc>
        <w:tc>
          <w:tcPr>
            <w:tcW w:type="dxa" w:w="1493"/>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FR-CAT-01 – 03</w:t>
            </w:r>
          </w:p>
        </w:tc>
      </w:tr>
      <w:tr>
        <w:trPr>
          <w:cantSplit/>
        </w:trPr>
        <w:tc>
          <w:tcPr>
            <w:tcW w:type="dxa" w:w="905"/>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HFR-07</w:t>
            </w:r>
          </w:p>
        </w:tc>
        <w:tc>
          <w:tcPr>
            <w:tcW w:type="dxa" w:w="1629"/>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Request Submission</w:t>
            </w:r>
          </w:p>
        </w:tc>
        <w:tc>
          <w:tcPr>
            <w:tcW w:type="dxa" w:w="312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The citizen submits the request electronically by filling in the service form and uploading documents, receives a unique reference number, and the request is routed automatically to the department that owns the service.</w:t>
            </w:r>
          </w:p>
        </w:tc>
        <w:tc>
          <w:tcPr>
            <w:tcW w:type="dxa" w:w="1493"/>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Citizen</w:t>
            </w:r>
          </w:p>
        </w:tc>
        <w:tc>
          <w:tcPr>
            <w:tcW w:type="dxa" w:w="860"/>
            <w:tcBorders>
              <w:top w:val="single" w:color="8EAADB" w:sz="4"/>
              <w:left w:val="single" w:color="8EAADB" w:sz="4"/>
              <w:bottom w:val="single" w:color="8EAADB" w:sz="4"/>
              <w:right w:val="single" w:color="8EAADB" w:sz="4"/>
            </w:tcBorders>
            <w:shd w:fill="F8D7DA"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High</w:t>
            </w:r>
          </w:p>
        </w:tc>
        <w:tc>
          <w:tcPr>
            <w:tcW w:type="dxa" w:w="1493"/>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FR-REQ-01 – 09</w:t>
            </w:r>
          </w:p>
        </w:tc>
      </w:tr>
      <w:tr>
        <w:trPr>
          <w:cantSplit/>
        </w:trPr>
        <w:tc>
          <w:tcPr>
            <w:tcW w:type="dxa" w:w="905"/>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HFR-08</w:t>
            </w:r>
          </w:p>
        </w:tc>
        <w:tc>
          <w:tcPr>
            <w:tcW w:type="dxa" w:w="1629"/>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Request Processing</w:t>
            </w:r>
          </w:p>
        </w:tc>
        <w:tc>
          <w:tcPr>
            <w:tcW w:type="dxa" w:w="312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The Employee processes only the department's requests through controlled status transitions, the Department Manager follows and reassigns the department's requests, and the System Administrator views all requests.</w:t>
            </w:r>
          </w:p>
        </w:tc>
        <w:tc>
          <w:tcPr>
            <w:tcW w:type="dxa" w:w="1493"/>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Employee, Department Manager, System Administrator</w:t>
            </w:r>
          </w:p>
        </w:tc>
        <w:tc>
          <w:tcPr>
            <w:tcW w:type="dxa" w:w="860"/>
            <w:tcBorders>
              <w:top w:val="single" w:color="8EAADB" w:sz="4"/>
              <w:left w:val="single" w:color="8EAADB" w:sz="4"/>
              <w:bottom w:val="single" w:color="8EAADB" w:sz="4"/>
              <w:right w:val="single" w:color="8EAADB" w:sz="4"/>
            </w:tcBorders>
            <w:shd w:fill="F8D7DA"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High</w:t>
            </w:r>
          </w:p>
        </w:tc>
        <w:tc>
          <w:tcPr>
            <w:tcW w:type="dxa" w:w="1493"/>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FR-PRC-01 – 11</w:t>
            </w:r>
          </w:p>
        </w:tc>
      </w:tr>
      <w:tr>
        <w:trPr>
          <w:cantSplit/>
        </w:trPr>
        <w:tc>
          <w:tcPr>
            <w:tcW w:type="dxa" w:w="905"/>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HFR-09</w:t>
            </w:r>
          </w:p>
        </w:tc>
        <w:tc>
          <w:tcPr>
            <w:tcW w:type="dxa" w:w="1629"/>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Request Status Tracking</w:t>
            </w:r>
          </w:p>
        </w:tc>
        <w:tc>
          <w:tcPr>
            <w:tcW w:type="dxa" w:w="312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The citizen follows the request status and its timeline through the reference number from their account.</w:t>
            </w:r>
          </w:p>
        </w:tc>
        <w:tc>
          <w:tcPr>
            <w:tcW w:type="dxa" w:w="1493"/>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Citizen</w:t>
            </w:r>
          </w:p>
        </w:tc>
        <w:tc>
          <w:tcPr>
            <w:tcW w:type="dxa" w:w="860"/>
            <w:tcBorders>
              <w:top w:val="single" w:color="8EAADB" w:sz="4"/>
              <w:left w:val="single" w:color="8EAADB" w:sz="4"/>
              <w:bottom w:val="single" w:color="8EAADB" w:sz="4"/>
              <w:right w:val="single" w:color="8EAADB" w:sz="4"/>
            </w:tcBorders>
            <w:shd w:fill="F8D7DA"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High</w:t>
            </w:r>
          </w:p>
        </w:tc>
        <w:tc>
          <w:tcPr>
            <w:tcW w:type="dxa" w:w="1493"/>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FR-TRK-01 – 02</w:t>
            </w:r>
          </w:p>
        </w:tc>
      </w:tr>
      <w:tr>
        <w:trPr>
          <w:cantSplit/>
        </w:trPr>
        <w:tc>
          <w:tcPr>
            <w:tcW w:type="dxa" w:w="905"/>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HFR-10</w:t>
            </w:r>
          </w:p>
        </w:tc>
        <w:tc>
          <w:tcPr>
            <w:tcW w:type="dxa" w:w="1629"/>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Notifications</w:t>
            </w:r>
          </w:p>
        </w:tc>
        <w:tc>
          <w:tcPr>
            <w:tcW w:type="dxa" w:w="312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The system sends the citizen email notifications when the request is submitted and when its status changes, and alerts the employee and the Department Manager about overdue requests.</w:t>
            </w:r>
          </w:p>
        </w:tc>
        <w:tc>
          <w:tcPr>
            <w:tcW w:type="dxa" w:w="1493"/>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System</w:t>
            </w:r>
          </w:p>
        </w:tc>
        <w:tc>
          <w:tcPr>
            <w:tcW w:type="dxa" w:w="860"/>
            <w:tcBorders>
              <w:top w:val="single" w:color="8EAADB" w:sz="4"/>
              <w:left w:val="single" w:color="8EAADB" w:sz="4"/>
              <w:bottom w:val="single" w:color="8EAADB" w:sz="4"/>
              <w:right w:val="single" w:color="8EAADB" w:sz="4"/>
            </w:tcBorders>
            <w:shd w:fill="F8D7DA"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High</w:t>
            </w:r>
          </w:p>
        </w:tc>
        <w:tc>
          <w:tcPr>
            <w:tcW w:type="dxa" w:w="1493"/>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FR-NTF-01 – 04</w:t>
            </w:r>
          </w:p>
        </w:tc>
      </w:tr>
      <w:tr>
        <w:trPr>
          <w:cantSplit/>
        </w:trPr>
        <w:tc>
          <w:tcPr>
            <w:tcW w:type="dxa" w:w="905"/>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HFR-11</w:t>
            </w:r>
          </w:p>
        </w:tc>
        <w:tc>
          <w:tcPr>
            <w:tcW w:type="dxa" w:w="1629"/>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Electronic Payment</w:t>
            </w:r>
          </w:p>
        </w:tc>
        <w:tc>
          <w:tcPr>
            <w:tcW w:type="dxa" w:w="312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The citizen pays the service fees through the Stripe gateway in its test environment behind a unified payment interface, with automatic payment confirmation and payment records.</w:t>
            </w:r>
          </w:p>
        </w:tc>
        <w:tc>
          <w:tcPr>
            <w:tcW w:type="dxa" w:w="1493"/>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Citizen, System</w:t>
            </w:r>
          </w:p>
        </w:tc>
        <w:tc>
          <w:tcPr>
            <w:tcW w:type="dxa" w:w="860"/>
            <w:tcBorders>
              <w:top w:val="single" w:color="8EAADB" w:sz="4"/>
              <w:left w:val="single" w:color="8EAADB" w:sz="4"/>
              <w:bottom w:val="single" w:color="8EAADB" w:sz="4"/>
              <w:right w:val="single" w:color="8EAADB" w:sz="4"/>
            </w:tcBorders>
            <w:shd w:fill="F8D7DA"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High</w:t>
            </w:r>
          </w:p>
        </w:tc>
        <w:tc>
          <w:tcPr>
            <w:tcW w:type="dxa" w:w="1493"/>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FR-PAY-01 – 06</w:t>
            </w:r>
          </w:p>
        </w:tc>
      </w:tr>
      <w:tr>
        <w:trPr>
          <w:cantSplit/>
        </w:trPr>
        <w:tc>
          <w:tcPr>
            <w:tcW w:type="dxa" w:w="905"/>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HFR-12</w:t>
            </w:r>
          </w:p>
        </w:tc>
        <w:tc>
          <w:tcPr>
            <w:tcW w:type="dxa" w:w="1629"/>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Service Rating</w:t>
            </w:r>
          </w:p>
        </w:tc>
        <w:tc>
          <w:tcPr>
            <w:tcW w:type="dxa" w:w="312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The citizen rates the service and the processing employee after the request is completed, with one rating per request.</w:t>
            </w:r>
          </w:p>
        </w:tc>
        <w:tc>
          <w:tcPr>
            <w:tcW w:type="dxa" w:w="1493"/>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Citizen</w:t>
            </w:r>
          </w:p>
        </w:tc>
        <w:tc>
          <w:tcPr>
            <w:tcW w:type="dxa" w:w="860"/>
            <w:tcBorders>
              <w:top w:val="single" w:color="8EAADB" w:sz="4"/>
              <w:left w:val="single" w:color="8EAADB" w:sz="4"/>
              <w:bottom w:val="single" w:color="8EAADB" w:sz="4"/>
              <w:right w:val="single" w:color="8EAADB" w:sz="4"/>
            </w:tcBorders>
            <w:shd w:fill="F8D7DA"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High</w:t>
            </w:r>
          </w:p>
        </w:tc>
        <w:tc>
          <w:tcPr>
            <w:tcW w:type="dxa" w:w="1493"/>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FR-FBK-01 – 02</w:t>
            </w:r>
          </w:p>
        </w:tc>
      </w:tr>
      <w:tr>
        <w:trPr>
          <w:cantSplit/>
        </w:trPr>
        <w:tc>
          <w:tcPr>
            <w:tcW w:type="dxa" w:w="905"/>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HFR-13</w:t>
            </w:r>
          </w:p>
        </w:tc>
        <w:tc>
          <w:tcPr>
            <w:tcW w:type="dxa" w:w="1629"/>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Complaint Management</w:t>
            </w:r>
          </w:p>
        </w:tc>
        <w:tc>
          <w:tcPr>
            <w:tcW w:type="dxa" w:w="312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The citizen submits a complaint linked to a request and an employee; it is routed to the Department Manager (or to the System Administrator if it is against a Department Manager) and hidden from the person complained about.</w:t>
            </w:r>
          </w:p>
        </w:tc>
        <w:tc>
          <w:tcPr>
            <w:tcW w:type="dxa" w:w="1493"/>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Citizen, Department Manager, System Administrator</w:t>
            </w:r>
          </w:p>
        </w:tc>
        <w:tc>
          <w:tcPr>
            <w:tcW w:type="dxa" w:w="860"/>
            <w:tcBorders>
              <w:top w:val="single" w:color="8EAADB" w:sz="4"/>
              <w:left w:val="single" w:color="8EAADB" w:sz="4"/>
              <w:bottom w:val="single" w:color="8EAADB" w:sz="4"/>
              <w:right w:val="single" w:color="8EAADB" w:sz="4"/>
            </w:tcBorders>
            <w:shd w:fill="F8D7DA"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High</w:t>
            </w:r>
          </w:p>
        </w:tc>
        <w:tc>
          <w:tcPr>
            <w:tcW w:type="dxa" w:w="1493"/>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FR-CMP-01 – 06</w:t>
            </w:r>
          </w:p>
        </w:tc>
      </w:tr>
      <w:tr>
        <w:trPr>
          <w:cantSplit/>
        </w:trPr>
        <w:tc>
          <w:tcPr>
            <w:tcW w:type="dxa" w:w="905"/>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HFR-14</w:t>
            </w:r>
          </w:p>
        </w:tc>
        <w:tc>
          <w:tcPr>
            <w:tcW w:type="dxa" w:w="1629"/>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Performance Dashboard</w:t>
            </w:r>
          </w:p>
        </w:tc>
        <w:tc>
          <w:tcPr>
            <w:tcW w:type="dxa" w:w="312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The Department Manager sees the department's indicators (requests, processing time, employee productivity, stalled requests, satisfaction), and the System Administrator sees the center's indicators and a comparison of departments.</w:t>
            </w:r>
          </w:p>
        </w:tc>
        <w:tc>
          <w:tcPr>
            <w:tcW w:type="dxa" w:w="1493"/>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Department Manager, System Administrator</w:t>
            </w:r>
          </w:p>
        </w:tc>
        <w:tc>
          <w:tcPr>
            <w:tcW w:type="dxa" w:w="860"/>
            <w:tcBorders>
              <w:top w:val="single" w:color="8EAADB" w:sz="4"/>
              <w:left w:val="single" w:color="8EAADB" w:sz="4"/>
              <w:bottom w:val="single" w:color="8EAADB" w:sz="4"/>
              <w:right w:val="single" w:color="8EAADB" w:sz="4"/>
            </w:tcBorders>
            <w:shd w:fill="F8D7DA"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High</w:t>
            </w:r>
          </w:p>
        </w:tc>
        <w:tc>
          <w:tcPr>
            <w:tcW w:type="dxa" w:w="1493"/>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FR-KPI-01 – 07</w:t>
            </w:r>
          </w:p>
        </w:tc>
      </w:tr>
      <w:tr>
        <w:trPr>
          <w:cantSplit/>
        </w:trPr>
        <w:tc>
          <w:tcPr>
            <w:tcW w:type="dxa" w:w="905"/>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HFR-15</w:t>
            </w:r>
          </w:p>
        </w:tc>
        <w:tc>
          <w:tcPr>
            <w:tcW w:type="dxa" w:w="1629"/>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Statistical Reports</w:t>
            </w:r>
          </w:p>
        </w:tc>
        <w:tc>
          <w:tcPr>
            <w:tcW w:type="dxa" w:w="312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Filter reports by period, service, employee and department within the scope of the user's permissions, and export them.</w:t>
            </w:r>
          </w:p>
        </w:tc>
        <w:tc>
          <w:tcPr>
            <w:tcW w:type="dxa" w:w="1493"/>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Department Manager, System Administrator</w:t>
            </w:r>
          </w:p>
        </w:tc>
        <w:tc>
          <w:tcPr>
            <w:tcW w:type="dxa" w:w="860"/>
            <w:tcBorders>
              <w:top w:val="single" w:color="8EAADB" w:sz="4"/>
              <w:left w:val="single" w:color="8EAADB" w:sz="4"/>
              <w:bottom w:val="single" w:color="8EAADB" w:sz="4"/>
              <w:right w:val="single" w:color="8EAADB" w:sz="4"/>
            </w:tcBorders>
            <w:shd w:fill="FFF3CD"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Medium</w:t>
            </w:r>
          </w:p>
        </w:tc>
        <w:tc>
          <w:tcPr>
            <w:tcW w:type="dxa" w:w="1493"/>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FR-RPT-01 – 02</w:t>
            </w:r>
          </w:p>
        </w:tc>
      </w:tr>
      <w:tr>
        <w:trPr>
          <w:cantSplit/>
        </w:trPr>
        <w:tc>
          <w:tcPr>
            <w:tcW w:type="dxa" w:w="905"/>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HFR-16</w:t>
            </w:r>
          </w:p>
        </w:tc>
        <w:tc>
          <w:tcPr>
            <w:tcW w:type="dxa" w:w="1629"/>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Activity Log</w:t>
            </w:r>
          </w:p>
        </w:tc>
        <w:tc>
          <w:tcPr>
            <w:tcW w:type="dxa" w:w="312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The system records every action and every sensitive administrative operation in an immutable log; the Department Manager views the log of the department's employees and the System Administrator views the comprehensive log.</w:t>
            </w:r>
          </w:p>
        </w:tc>
        <w:tc>
          <w:tcPr>
            <w:tcW w:type="dxa" w:w="1493"/>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Department Manager, System Administrator</w:t>
            </w:r>
          </w:p>
        </w:tc>
        <w:tc>
          <w:tcPr>
            <w:tcW w:type="dxa" w:w="860"/>
            <w:tcBorders>
              <w:top w:val="single" w:color="8EAADB" w:sz="4"/>
              <w:left w:val="single" w:color="8EAADB" w:sz="4"/>
              <w:bottom w:val="single" w:color="8EAADB" w:sz="4"/>
              <w:right w:val="single" w:color="8EAADB" w:sz="4"/>
            </w:tcBorders>
            <w:shd w:fill="F8D7DA"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High</w:t>
            </w:r>
          </w:p>
        </w:tc>
        <w:tc>
          <w:tcPr>
            <w:tcW w:type="dxa" w:w="1493"/>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FR-LOG-01 – 05</w:t>
            </w:r>
          </w:p>
        </w:tc>
      </w:tr>
      <w:tr>
        <w:trPr>
          <w:cantSplit/>
        </w:trPr>
        <w:tc>
          <w:tcPr>
            <w:tcW w:type="dxa" w:w="905"/>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HFR-17</w:t>
            </w:r>
          </w:p>
        </w:tc>
        <w:tc>
          <w:tcPr>
            <w:tcW w:type="dxa" w:w="1629"/>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Electronic Archiving</w:t>
            </w:r>
          </w:p>
        </w:tc>
        <w:tc>
          <w:tcPr>
            <w:tcW w:type="dxa" w:w="312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The system stores closed requests with their attachments and decisions in a searchable archive, with access restricted by department and permission.</w:t>
            </w:r>
          </w:p>
        </w:tc>
        <w:tc>
          <w:tcPr>
            <w:tcW w:type="dxa" w:w="1493"/>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System</w:t>
            </w:r>
          </w:p>
        </w:tc>
        <w:tc>
          <w:tcPr>
            <w:tcW w:type="dxa" w:w="860"/>
            <w:tcBorders>
              <w:top w:val="single" w:color="8EAADB" w:sz="4"/>
              <w:left w:val="single" w:color="8EAADB" w:sz="4"/>
              <w:bottom w:val="single" w:color="8EAADB" w:sz="4"/>
              <w:right w:val="single" w:color="8EAADB" w:sz="4"/>
            </w:tcBorders>
            <w:shd w:fill="F8D7DA"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High</w:t>
            </w:r>
          </w:p>
        </w:tc>
        <w:tc>
          <w:tcPr>
            <w:tcW w:type="dxa" w:w="1493"/>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FR-ARC-01 – 03</w:t>
            </w:r>
          </w:p>
        </w:tc>
      </w:tr>
      <w:tr>
        <w:trPr>
          <w:cantSplit/>
        </w:trPr>
        <w:tc>
          <w:tcPr>
            <w:tcW w:type="dxa" w:w="905"/>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HFR-18</w:t>
            </w:r>
          </w:p>
        </w:tc>
        <w:tc>
          <w:tcPr>
            <w:tcW w:type="dxa" w:w="1629"/>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System Settings</w:t>
            </w:r>
          </w:p>
        </w:tc>
        <w:tc>
          <w:tcPr>
            <w:tcW w:type="dxa" w:w="312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The System Administrator configures the center information, notification templates and the integration settings of the payment gateway and the mail server.</w:t>
            </w:r>
          </w:p>
        </w:tc>
        <w:tc>
          <w:tcPr>
            <w:tcW w:type="dxa" w:w="1493"/>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System Administrator</w:t>
            </w:r>
          </w:p>
        </w:tc>
        <w:tc>
          <w:tcPr>
            <w:tcW w:type="dxa" w:w="860"/>
            <w:tcBorders>
              <w:top w:val="single" w:color="8EAADB" w:sz="4"/>
              <w:left w:val="single" w:color="8EAADB" w:sz="4"/>
              <w:bottom w:val="single" w:color="8EAADB" w:sz="4"/>
              <w:right w:val="single" w:color="8EAADB" w:sz="4"/>
            </w:tcBorders>
            <w:shd w:fill="FFF3CD"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Medium</w:t>
            </w:r>
          </w:p>
        </w:tc>
        <w:tc>
          <w:tcPr>
            <w:tcW w:type="dxa" w:w="1493"/>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FR-SET-01 – 03</w:t>
            </w:r>
          </w:p>
        </w:tc>
      </w:tr>
    </w:tbl>
    <w:sectPr>
      <w:footerReference w:type="default" r:id="rId6"/>
      <w:pgSz w:w="11906" w:h="16838" w:orient="portrait"/>
      <w:pgMar w:top="1200" w:right="1200" w:bottom="1200" w:left="12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20"/>
        <w:szCs w:val="20"/>
      </w:rPr>
      <w:fldChar w:fldCharType="begin"/>
    </w:r>
    <w:r>
      <w:rPr>
        <w:rFonts w:ascii="Arial" w:cs="Arial" w:eastAsia="Arial" w:hAnsi="Arial"/>
        <w:sz w:val="20"/>
        <w:szCs w:val="20"/>
      </w:rPr>
      <w:instrText xml:space="preserve">PAGE</w:instrText>
    </w:r>
    <w:r>
      <w:rPr>
        <w:rFonts w:ascii="Arial" w:cs="Arial" w:eastAsia="Arial" w:hAnsi="Arial"/>
        <w:sz w:val="20"/>
        <w:szCs w:val="20"/>
      </w:rPr>
      <w:fldChar w:fldCharType="separate"/>
    </w:r>
    <w:r>
      <w:rPr>
        <w:rFonts w:ascii="Arial" w:cs="Arial" w:eastAsia="Arial" w:hAnsi="Arial"/>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00"/>
      </w:pPr>
      <w:rPr>
        <w:sz w:val="16"/>
        <w:szCs w:val="16"/>
      </w:rPr>
    </w:lvl>
    <w:lvl w:ilvl="1" w:tentative="1">
      <w:start w:val="1"/>
      <w:numFmt w:val="bullet"/>
      <w:lvlText w:val="○"/>
      <w:lvlJc w:val="left"/>
      <w:pPr>
        <w:ind w:left="1080" w:hanging="300"/>
      </w:pPr>
      <w:rPr>
        <w:sz w:val="16"/>
        <w:szCs w:val="16"/>
      </w:rPr>
    </w:lvl>
  </w:abstractNum>
  <w:abstractNum w:abstractNumId="3" w15:restartNumberingAfterBreak="0">
    <w:multiLevelType w:val="hybridMultilevel"/>
    <w:lvl w:ilvl="0" w: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lvlOverride w:ilvl="1">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Arial" w:cs="Arial" w:eastAsia="Arial" w:hAnsi="Arial"/>
      <w:b/>
      <w:bCs/>
      <w:color w:val="1F3864"/>
      <w:sz w:val="30"/>
      <w:szCs w:val="30"/>
    </w:rPr>
  </w:style>
  <w:style w:type="paragraph" w:styleId="Heading2">
    <w:name w:val="Heading 2"/>
    <w:basedOn w:val="Normal"/>
    <w:next w:val="Normal"/>
    <w:qFormat/>
    <w:pPr>
      <w:keepNext/>
      <w:spacing w:after="120" w:before="240"/>
      <w:outlineLvl w:val="1"/>
    </w:pPr>
    <w:rPr>
      <w:rFonts w:ascii="Arial" w:cs="Arial" w:eastAsia="Arial" w:hAnsi="Arial"/>
      <w:b/>
      <w:bCs/>
      <w:color w:val="2E5597"/>
      <w:sz w:val="28"/>
      <w:szCs w:val="28"/>
    </w:rPr>
  </w:style>
  <w:style w:type="paragraph" w:styleId="Heading3">
    <w:name w:val="Heading 3"/>
    <w:basedOn w:val="Normal"/>
    <w:next w:val="Normal"/>
    <w:qFormat/>
    <w:pPr>
      <w:keepNext/>
      <w:spacing w:after="100" w:before="200"/>
      <w:outlineLvl w:val="2"/>
    </w:pPr>
    <w:rPr>
      <w:rFonts w:ascii="Arial" w:cs="Arial" w:eastAsia="Arial" w:hAnsi="Arial"/>
      <w:b/>
      <w:bCs/>
      <w:color w:val="1F3864"/>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High-Level Functional Requirements</dc:title>
  <dc:creator>George Albeir Zalloum</dc:creator>
  <cp:lastModifiedBy>Un-named</cp:lastModifiedBy>
  <cp:revision>1</cp:revision>
  <dcterms:created xsi:type="dcterms:W3CDTF">2026-10-26T15:33:56.167Z</dcterms:created>
  <dcterms:modified xsi:type="dcterms:W3CDTF">2026-10-26T15:33:56.167Z</dcterms:modified>
</cp:coreProperties>
</file>

<file path=docProps/custom.xml><?xml version="1.0" encoding="utf-8"?>
<Properties xmlns="http://schemas.openxmlformats.org/officeDocument/2006/custom-properties" xmlns:vt="http://schemas.openxmlformats.org/officeDocument/2006/docPropsVTypes"/>
</file>