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Literature Review</w:t>
      </w:r>
    </w:p>
    <w:p>
      <w:pPr>
        <w:pBdr>
          <w:bottom w:val="single" w:color="2E5597" w:sz="8" w:space="8"/>
        </w:pBdr>
        <w:spacing w:after="360"/>
        <w:jc w:val="center"/>
      </w:pPr>
      <w:r>
        <w:rPr>
          <w:rFonts w:ascii="Arial" w:cs="Arial" w:eastAsia="Arial" w:hAnsi="Arial"/>
          <w:color w:val="2E5597"/>
          <w:sz w:val="30"/>
          <w:szCs w:val="30"/>
        </w:rPr>
        <w:t xml:space="preserve">Citizen Service Center Management Web System</w:t>
      </w:r>
    </w:p>
    <w:p>
      <w:pPr>
        <w:pStyle w:val="Heading1"/>
      </w:pPr>
      <w:r>
        <w:rPr>
          <w:rFonts w:ascii="Arial" w:cs="Arial" w:eastAsia="Arial" w:hAnsi="Arial"/>
        </w:rPr>
        <w:t xml:space="preserve">1. Study of the Traditional Paper-Based System (Case of Mukhtar Salim Dawood Azar – Karm Hadid Neighborhood, and Several Employees of Jaramana Municipality and the One-Stop Window)</w:t>
      </w:r>
    </w:p>
    <w:p>
      <w:pPr>
        <w:pStyle w:val="Heading2"/>
      </w:pPr>
      <w:r>
        <w:rPr>
          <w:rFonts w:ascii="Arial" w:cs="Arial" w:eastAsia="Arial" w:hAnsi="Arial"/>
        </w:rPr>
        <w:t xml:space="preserve">Workflow</w:t>
      </w:r>
    </w:p>
    <w:p>
      <w:pPr>
        <w:pStyle w:val="ListParagraph"/>
        <w:numPr>
          <w:ilvl w:val="0"/>
          <w:numId w:val="2"/>
        </w:numPr>
        <w:spacing w:after="80" w:line="310"/>
        <w:jc w:val="both"/>
      </w:pPr>
      <w:r>
        <w:rPr>
          <w:rFonts w:ascii="Arial" w:cs="Arial" w:eastAsia="Arial" w:hAnsi="Arial"/>
        </w:rPr>
        <w:t xml:space="preserve">The citizen goes in person to the Mukhtar's office carrying identity documents and presents the request orally (such as a residence attestation, a good-conduct certificate or proof of residence within the neighborhood).</w:t>
      </w:r>
    </w:p>
    <w:p>
      <w:pPr>
        <w:pStyle w:val="ListParagraph"/>
        <w:numPr>
          <w:ilvl w:val="0"/>
          <w:numId w:val="2"/>
        </w:numPr>
        <w:spacing w:after="80" w:line="310"/>
        <w:jc w:val="both"/>
      </w:pPr>
      <w:r>
        <w:rPr>
          <w:rFonts w:ascii="Arial" w:cs="Arial" w:eastAsia="Arial" w:hAnsi="Arial"/>
        </w:rPr>
        <w:t xml:space="preserve">The Mukhtar verifies the applicant's identity and the correctness of the information based on personal knowledge, on the submitted paper documents and, when needed, on the testimony of witnesses from the neighborhood.</w:t>
      </w:r>
    </w:p>
    <w:p>
      <w:pPr>
        <w:pStyle w:val="ListParagraph"/>
        <w:numPr>
          <w:ilvl w:val="0"/>
          <w:numId w:val="2"/>
        </w:numPr>
        <w:spacing w:after="80" w:line="310"/>
        <w:jc w:val="both"/>
      </w:pPr>
      <w:r>
        <w:rPr>
          <w:rFonts w:ascii="Arial" w:cs="Arial" w:eastAsia="Arial" w:hAnsi="Arial"/>
        </w:rPr>
        <w:t xml:space="preserve">The document is written by hand or on a printed form, stamped and signed by the Mukhtar, and handed to the citizen in the same session or at a later date set orally.</w:t>
      </w:r>
    </w:p>
    <w:p>
      <w:pPr>
        <w:pStyle w:val="ListParagraph"/>
        <w:numPr>
          <w:ilvl w:val="0"/>
          <w:numId w:val="2"/>
        </w:numPr>
        <w:spacing w:after="80" w:line="310"/>
        <w:jc w:val="both"/>
      </w:pPr>
      <w:r>
        <w:rPr>
          <w:rFonts w:ascii="Arial" w:cs="Arial" w:eastAsia="Arial" w:hAnsi="Arial"/>
        </w:rPr>
        <w:t xml:space="preserve">The procedure, if recorded at all, is written in a paper register kept by the Mukhtar, without uniform numbering or searchable indexing.</w:t>
      </w:r>
    </w:p>
    <w:p>
      <w:pPr>
        <w:pStyle w:val="Heading2"/>
      </w:pPr>
      <w:r>
        <w:rPr>
          <w:rFonts w:ascii="Arial" w:cs="Arial" w:eastAsia="Arial" w:hAnsi="Arial"/>
        </w:rPr>
        <w:t xml:space="preserve">Derived Features</w:t>
      </w:r>
    </w:p>
    <w:p>
      <w:pPr>
        <w:pStyle w:val="ListParagraph"/>
        <w:numPr>
          <w:ilvl w:val="0"/>
          <w:numId w:val="2"/>
        </w:numPr>
        <w:spacing w:after="80" w:line="310"/>
        <w:jc w:val="both"/>
      </w:pPr>
      <w:r>
        <w:rPr>
          <w:rFonts w:ascii="Arial" w:cs="Arial" w:eastAsia="Arial" w:hAnsi="Arial"/>
          <w:b/>
          <w:bCs/>
        </w:rPr>
        <w:t xml:space="preserve">Human verification:</w:t>
      </w:r>
      <w:r>
        <w:rPr>
          <w:rFonts w:ascii="Arial" w:cs="Arial" w:eastAsia="Arial" w:hAnsi="Arial"/>
        </w:rPr>
        <w:t xml:space="preserve"> Verification relies on direct knowledge of the citizen and their residential surroundings, a level of contextual verification that automated systems do not provide.</w:t>
      </w:r>
    </w:p>
    <w:p>
      <w:pPr>
        <w:pStyle w:val="ListParagraph"/>
        <w:numPr>
          <w:ilvl w:val="0"/>
          <w:numId w:val="2"/>
        </w:numPr>
        <w:spacing w:after="80" w:line="310"/>
        <w:jc w:val="both"/>
      </w:pPr>
      <w:r>
        <w:rPr>
          <w:rFonts w:ascii="Arial" w:cs="Arial" w:eastAsia="Arial" w:hAnsi="Arial"/>
          <w:b/>
          <w:bCs/>
        </w:rPr>
        <w:t xml:space="preserve">Direct handling of exceptional cases:</w:t>
      </w:r>
      <w:r>
        <w:rPr>
          <w:rFonts w:ascii="Arial" w:cs="Arial" w:eastAsia="Arial" w:hAnsi="Arial"/>
        </w:rPr>
        <w:t xml:space="preserve"> The Mukhtar can handle non-standard cases (a missing document, conflicting data, humanitarian circumstances) through immediate judgment, without a predefined procedural path.</w:t>
      </w:r>
    </w:p>
    <w:p>
      <w:pPr>
        <w:pStyle w:val="ListParagraph"/>
        <w:numPr>
          <w:ilvl w:val="0"/>
          <w:numId w:val="2"/>
        </w:numPr>
        <w:spacing w:after="80" w:line="310"/>
        <w:jc w:val="both"/>
      </w:pPr>
      <w:r>
        <w:rPr>
          <w:rFonts w:ascii="Arial" w:cs="Arial" w:eastAsia="Arial" w:hAnsi="Arial"/>
          <w:b/>
          <w:bCs/>
        </w:rPr>
        <w:t xml:space="preserve">Low technical threshold:</w:t>
      </w:r>
      <w:r>
        <w:rPr>
          <w:rFonts w:ascii="Arial" w:cs="Arial" w:eastAsia="Arial" w:hAnsi="Arial"/>
        </w:rPr>
        <w:t xml:space="preserve"> It requires no digital skills from the citizen and does not depend on an Internet connection or computer equipment.</w:t>
      </w:r>
    </w:p>
    <w:p>
      <w:pPr>
        <w:pStyle w:val="Heading2"/>
      </w:pPr>
      <w:r>
        <w:rPr>
          <w:rFonts w:ascii="Arial" w:cs="Arial" w:eastAsia="Arial" w:hAnsi="Arial"/>
        </w:rPr>
        <w:t xml:space="preserve">Drawbacks and Gaps</w:t>
      </w:r>
    </w:p>
    <w:p>
      <w:pPr>
        <w:pStyle w:val="ListParagraph"/>
        <w:numPr>
          <w:ilvl w:val="0"/>
          <w:numId w:val="2"/>
        </w:numPr>
        <w:spacing w:after="80" w:line="310"/>
        <w:jc w:val="both"/>
      </w:pPr>
      <w:r>
        <w:rPr>
          <w:rFonts w:ascii="Arial" w:cs="Arial" w:eastAsia="Arial" w:hAnsi="Arial"/>
          <w:b/>
          <w:bCs/>
        </w:rPr>
        <w:t xml:space="preserve">No archiving:</w:t>
      </w:r>
      <w:r>
        <w:rPr>
          <w:rFonts w:ascii="Arial" w:cs="Arial" w:eastAsia="Arial" w:hAnsi="Arial"/>
        </w:rPr>
        <w:t xml:space="preserve"> There is no digital copy of the requests or issued documents, and a previous transaction cannot be retrieved, nor the issuance of a specific document verified, except by manually searching paper registers, if they exist.</w:t>
      </w:r>
    </w:p>
    <w:p>
      <w:pPr>
        <w:pStyle w:val="ListParagraph"/>
        <w:numPr>
          <w:ilvl w:val="0"/>
          <w:numId w:val="2"/>
        </w:numPr>
        <w:spacing w:after="80" w:line="310"/>
        <w:jc w:val="both"/>
      </w:pPr>
      <w:r>
        <w:rPr>
          <w:rFonts w:ascii="Arial" w:cs="Arial" w:eastAsia="Arial" w:hAnsi="Arial"/>
          <w:b/>
          <w:bCs/>
        </w:rPr>
        <w:t xml:space="preserve">Slowness:</w:t>
      </w:r>
      <w:r>
        <w:rPr>
          <w:rFonts w:ascii="Arial" w:cs="Arial" w:eastAsia="Arial" w:hAnsi="Arial"/>
        </w:rPr>
        <w:t xml:space="preserve"> Processing time depends on the Mukhtar being in the office and on the number of visitors at the same time, and every missing document requires a new personal visit.</w:t>
      </w:r>
    </w:p>
    <w:p>
      <w:pPr>
        <w:pStyle w:val="ListParagraph"/>
        <w:numPr>
          <w:ilvl w:val="0"/>
          <w:numId w:val="2"/>
        </w:numPr>
        <w:spacing w:after="80" w:line="310"/>
        <w:jc w:val="both"/>
      </w:pPr>
      <w:r>
        <w:rPr>
          <w:rFonts w:ascii="Arial" w:cs="Arial" w:eastAsia="Arial" w:hAnsi="Arial"/>
          <w:b/>
          <w:bCs/>
        </w:rPr>
        <w:t xml:space="preserve">No request tracking system:</w:t>
      </w:r>
      <w:r>
        <w:rPr>
          <w:rFonts w:ascii="Arial" w:cs="Arial" w:eastAsia="Arial" w:hAnsi="Arial"/>
        </w:rPr>
        <w:t xml:space="preserve"> The citizen receives no reference number and no way of knowing the status of the request, and there is no notification when the document is ready.</w:t>
      </w:r>
    </w:p>
    <w:p>
      <w:pPr>
        <w:pStyle w:val="ListParagraph"/>
        <w:numPr>
          <w:ilvl w:val="0"/>
          <w:numId w:val="2"/>
        </w:numPr>
        <w:spacing w:after="80" w:line="310"/>
        <w:jc w:val="both"/>
      </w:pPr>
      <w:r>
        <w:rPr>
          <w:rFonts w:ascii="Arial" w:cs="Arial" w:eastAsia="Arial" w:hAnsi="Arial"/>
          <w:b/>
          <w:bCs/>
        </w:rPr>
        <w:t xml:space="preserve">No means of measuring performance:</w:t>
      </w:r>
      <w:r>
        <w:rPr>
          <w:rFonts w:ascii="Arial" w:cs="Arial" w:eastAsia="Arial" w:hAnsi="Arial"/>
        </w:rPr>
        <w:t xml:space="preserve"> Neither the number of completed transactions nor their processing time is recorded, and there is no official channel for rating the service or submitting a complaint, which makes the performance of the Mukhtar or the employee neither measurable nor accountable.</w:t>
      </w:r>
    </w:p>
    <w:p>
      <w:pPr>
        <w:pStyle w:val="Heading1"/>
      </w:pPr>
      <w:r>
        <w:rPr>
          <w:rFonts w:ascii="Arial" w:cs="Arial" w:eastAsia="Arial" w:hAnsi="Arial"/>
        </w:rPr>
        <w:t xml:space="preserve">2. Study of Local Government Portals (Syrian Electronic Citizen Service Center – ecsc.gov.sy)</w:t>
      </w:r>
    </w:p>
    <w:p>
      <w:pPr>
        <w:pStyle w:val="Heading2"/>
      </w:pPr>
      <w:r>
        <w:rPr>
          <w:rFonts w:ascii="Arial" w:cs="Arial" w:eastAsia="Arial" w:hAnsi="Arial"/>
        </w:rPr>
        <w:t xml:space="preserve">Workflow</w:t>
      </w:r>
    </w:p>
    <w:p>
      <w:pPr>
        <w:pStyle w:val="ListParagraph"/>
        <w:numPr>
          <w:ilvl w:val="0"/>
          <w:numId w:val="2"/>
        </w:numPr>
        <w:spacing w:after="80" w:line="310"/>
        <w:jc w:val="both"/>
      </w:pPr>
      <w:r>
        <w:rPr>
          <w:rFonts w:ascii="Arial" w:cs="Arial" w:eastAsia="Arial" w:hAnsi="Arial"/>
        </w:rPr>
        <w:t xml:space="preserve">The citizen creates an account on the portal and selects the transaction from a list of transactions predefined by the operating authority.</w:t>
      </w:r>
    </w:p>
    <w:p>
      <w:pPr>
        <w:pStyle w:val="ListParagraph"/>
        <w:numPr>
          <w:ilvl w:val="0"/>
          <w:numId w:val="2"/>
        </w:numPr>
        <w:spacing w:after="80" w:line="310"/>
        <w:jc w:val="both"/>
      </w:pPr>
      <w:r>
        <w:rPr>
          <w:rFonts w:ascii="Arial" w:cs="Arial" w:eastAsia="Arial" w:hAnsi="Arial"/>
        </w:rPr>
        <w:t xml:space="preserve">High-demand basic transactions, such as documents issued by the Civil Registry, are automated through electronic forms with a fixed structure.</w:t>
      </w:r>
    </w:p>
    <w:p>
      <w:pPr>
        <w:pStyle w:val="ListParagraph"/>
        <w:numPr>
          <w:ilvl w:val="0"/>
          <w:numId w:val="2"/>
        </w:numPr>
        <w:spacing w:after="80" w:line="310"/>
        <w:jc w:val="both"/>
      </w:pPr>
      <w:r>
        <w:rPr>
          <w:rFonts w:ascii="Arial" w:cs="Arial" w:eastAsia="Arial" w:hAnsi="Arial"/>
        </w:rPr>
        <w:t xml:space="preserve">Fees are paid through local payment gateways connected to banks and to the electronic payment methods available inside Syria.</w:t>
      </w:r>
    </w:p>
    <w:p>
      <w:pPr>
        <w:pStyle w:val="ListParagraph"/>
        <w:numPr>
          <w:ilvl w:val="0"/>
          <w:numId w:val="2"/>
        </w:numPr>
        <w:spacing w:after="80" w:line="310"/>
        <w:jc w:val="both"/>
      </w:pPr>
      <w:r>
        <w:rPr>
          <w:rFonts w:ascii="Arial" w:cs="Arial" w:eastAsia="Arial" w:hAnsi="Arial"/>
        </w:rPr>
        <w:t xml:space="preserve">The transaction is completed either by electronic delivery of the document or by collecting it from one of the citizen service centers.</w:t>
      </w:r>
    </w:p>
    <w:p>
      <w:pPr>
        <w:pStyle w:val="Heading2"/>
      </w:pPr>
      <w:r>
        <w:rPr>
          <w:rFonts w:ascii="Arial" w:cs="Arial" w:eastAsia="Arial" w:hAnsi="Arial"/>
        </w:rPr>
        <w:t xml:space="preserve">Derived Features</w:t>
      </w:r>
    </w:p>
    <w:p>
      <w:pPr>
        <w:pStyle w:val="ListParagraph"/>
        <w:numPr>
          <w:ilvl w:val="0"/>
          <w:numId w:val="2"/>
        </w:numPr>
        <w:spacing w:after="80" w:line="310"/>
        <w:jc w:val="both"/>
      </w:pPr>
      <w:r>
        <w:rPr>
          <w:rFonts w:ascii="Arial" w:cs="Arial" w:eastAsia="Arial" w:hAnsi="Arial"/>
          <w:b/>
          <w:bCs/>
        </w:rPr>
        <w:t xml:space="preserve">Breaking the paperwork barrier:</w:t>
      </w:r>
      <w:r>
        <w:rPr>
          <w:rFonts w:ascii="Arial" w:cs="Arial" w:eastAsia="Arial" w:hAnsi="Arial"/>
        </w:rPr>
        <w:t xml:space="preserve"> Moving request submission and fee payment to an electronic environment removes paper forms from automated transactions.</w:t>
      </w:r>
    </w:p>
    <w:p>
      <w:pPr>
        <w:pStyle w:val="ListParagraph"/>
        <w:numPr>
          <w:ilvl w:val="0"/>
          <w:numId w:val="2"/>
        </w:numPr>
        <w:spacing w:after="80" w:line="310"/>
        <w:jc w:val="both"/>
      </w:pPr>
      <w:r>
        <w:rPr>
          <w:rFonts w:ascii="Arial" w:cs="Arial" w:eastAsia="Arial" w:hAnsi="Arial"/>
          <w:b/>
          <w:bCs/>
        </w:rPr>
        <w:t xml:space="preserve">Reducing congestion:</w:t>
      </w:r>
      <w:r>
        <w:rPr>
          <w:rFonts w:ascii="Arial" w:cs="Arial" w:eastAsia="Arial" w:hAnsi="Arial"/>
        </w:rPr>
        <w:t xml:space="preserve"> In-person visits to the centers are reduced to the collection stage in the cases that require it.</w:t>
      </w:r>
    </w:p>
    <w:p>
      <w:pPr>
        <w:pStyle w:val="ListParagraph"/>
        <w:numPr>
          <w:ilvl w:val="0"/>
          <w:numId w:val="2"/>
        </w:numPr>
        <w:spacing w:after="80" w:line="310"/>
        <w:jc w:val="both"/>
      </w:pPr>
      <w:r>
        <w:rPr>
          <w:rFonts w:ascii="Arial" w:cs="Arial" w:eastAsia="Arial" w:hAnsi="Arial"/>
          <w:b/>
          <w:bCs/>
        </w:rPr>
        <w:t xml:space="preserve">Proving the feasibility of local electronic payment:</w:t>
      </w:r>
      <w:r>
        <w:rPr>
          <w:rFonts w:ascii="Arial" w:cs="Arial" w:eastAsia="Arial" w:hAnsi="Arial"/>
        </w:rPr>
        <w:t xml:space="preserve"> The experience shows that electronic payment can be applied within the existing Syrian banking infrastructure.</w:t>
      </w:r>
    </w:p>
    <w:p>
      <w:pPr>
        <w:pStyle w:val="Heading2"/>
      </w:pPr>
      <w:r>
        <w:rPr>
          <w:rFonts w:ascii="Arial" w:cs="Arial" w:eastAsia="Arial" w:hAnsi="Arial"/>
        </w:rPr>
        <w:t xml:space="preserve">Drawbacks and Gaps</w:t>
      </w:r>
    </w:p>
    <w:p>
      <w:pPr>
        <w:pStyle w:val="ListParagraph"/>
        <w:numPr>
          <w:ilvl w:val="0"/>
          <w:numId w:val="2"/>
        </w:numPr>
        <w:spacing w:after="80" w:line="310"/>
        <w:jc w:val="both"/>
      </w:pPr>
      <w:r>
        <w:rPr>
          <w:rFonts w:ascii="Arial" w:cs="Arial" w:eastAsia="Arial" w:hAnsi="Arial"/>
          <w:b/>
          <w:bCs/>
        </w:rPr>
        <w:t xml:space="preserve">Static system:</w:t>
      </w:r>
      <w:r>
        <w:rPr>
          <w:rFonts w:ascii="Arial" w:cs="Arial" w:eastAsia="Arial" w:hAnsi="Arial"/>
        </w:rPr>
        <w:t xml:space="preserve"> The list of transactions and the structure of their forms are predefined; the platform does not let management add a new transaction or modify its requirements (attachments, stamps, fees) dynamically from an administrative interface, which instead requires development work.</w:t>
      </w:r>
    </w:p>
    <w:p>
      <w:pPr>
        <w:pStyle w:val="ListParagraph"/>
        <w:numPr>
          <w:ilvl w:val="0"/>
          <w:numId w:val="2"/>
        </w:numPr>
        <w:spacing w:after="80" w:line="310"/>
        <w:jc w:val="both"/>
      </w:pPr>
      <w:r>
        <w:rPr>
          <w:rFonts w:ascii="Arial" w:cs="Arial" w:eastAsia="Arial" w:hAnsi="Arial"/>
          <w:b/>
          <w:bCs/>
        </w:rPr>
        <w:t xml:space="preserve">No direct oversight by the citizen:</w:t>
      </w:r>
      <w:r>
        <w:rPr>
          <w:rFonts w:ascii="Arial" w:cs="Arial" w:eastAsia="Arial" w:hAnsi="Arial"/>
        </w:rPr>
        <w:t xml:space="preserve"> There is no mechanism that lets the citizen rate the employee who processed the request or submit a complaint linked to the transaction itself.</w:t>
      </w:r>
    </w:p>
    <w:p>
      <w:pPr>
        <w:pStyle w:val="ListParagraph"/>
        <w:numPr>
          <w:ilvl w:val="0"/>
          <w:numId w:val="2"/>
        </w:numPr>
        <w:spacing w:after="80" w:line="310"/>
        <w:jc w:val="both"/>
      </w:pPr>
      <w:r>
        <w:rPr>
          <w:rFonts w:ascii="Arial" w:cs="Arial" w:eastAsia="Arial" w:hAnsi="Arial"/>
          <w:b/>
          <w:bCs/>
        </w:rPr>
        <w:t xml:space="preserve">No analytical dashboards:</w:t>
      </w:r>
      <w:r>
        <w:rPr>
          <w:rFonts w:ascii="Arial" w:cs="Arial" w:eastAsia="Arial" w:hAnsi="Arial"/>
        </w:rPr>
        <w:t xml:space="preserve"> The platform does not provide management with key performance indicator (KPI) dashboards for tracking each employee's activity, the number of processed requests, and stalled or delayed requests.</w:t>
      </w:r>
    </w:p>
    <w:p>
      <w:pPr>
        <w:pStyle w:val="Heading1"/>
      </w:pPr>
      <w:r>
        <w:rPr>
          <w:rFonts w:ascii="Arial" w:cs="Arial" w:eastAsia="Arial" w:hAnsi="Arial"/>
        </w:rPr>
        <w:t xml:space="preserve">3. Study of Advanced Regional Platforms (TAMM Platform – Abu Dhabi, UAE)</w:t>
      </w:r>
    </w:p>
    <w:p>
      <w:pPr>
        <w:pStyle w:val="Heading2"/>
      </w:pPr>
      <w:r>
        <w:rPr>
          <w:rFonts w:ascii="Arial" w:cs="Arial" w:eastAsia="Arial" w:hAnsi="Arial"/>
        </w:rPr>
        <w:t xml:space="preserve">Workflow</w:t>
      </w:r>
    </w:p>
    <w:p>
      <w:pPr>
        <w:pStyle w:val="ListParagraph"/>
        <w:numPr>
          <w:ilvl w:val="0"/>
          <w:numId w:val="2"/>
        </w:numPr>
        <w:spacing w:after="80" w:line="310"/>
        <w:jc w:val="both"/>
      </w:pPr>
      <w:r>
        <w:rPr>
          <w:rFonts w:ascii="Arial" w:cs="Arial" w:eastAsia="Arial" w:hAnsi="Arial"/>
        </w:rPr>
        <w:t xml:space="preserve">A comprehensive government platform that brings together the services of the government entities of the Emirate of Abu Dhabi in a unified application and portal.</w:t>
      </w:r>
    </w:p>
    <w:p>
      <w:pPr>
        <w:pStyle w:val="ListParagraph"/>
        <w:numPr>
          <w:ilvl w:val="0"/>
          <w:numId w:val="2"/>
        </w:numPr>
        <w:spacing w:after="80" w:line="310"/>
        <w:jc w:val="both"/>
      </w:pPr>
      <w:r>
        <w:rPr>
          <w:rFonts w:ascii="Arial" w:cs="Arial" w:eastAsia="Arial" w:hAnsi="Arial"/>
        </w:rPr>
        <w:t xml:space="preserve">It relies on proactive data integration between entities: the user's data is retrieved from its official sources instead of asking the user to enter it or attach documents proving it.</w:t>
      </w:r>
    </w:p>
    <w:p>
      <w:pPr>
        <w:pStyle w:val="ListParagraph"/>
        <w:numPr>
          <w:ilvl w:val="0"/>
          <w:numId w:val="2"/>
        </w:numPr>
        <w:spacing w:after="80" w:line="310"/>
        <w:jc w:val="both"/>
      </w:pPr>
      <w:r>
        <w:rPr>
          <w:rFonts w:ascii="Arial" w:cs="Arial" w:eastAsia="Arial" w:hAnsi="Arial"/>
        </w:rPr>
        <w:t xml:space="preserve">The user's identity is verified through the unified national digital identity (UAE PASS), which links the account to an approved official record.</w:t>
      </w:r>
    </w:p>
    <w:p>
      <w:pPr>
        <w:pStyle w:val="Heading2"/>
      </w:pPr>
      <w:r>
        <w:rPr>
          <w:rFonts w:ascii="Arial" w:cs="Arial" w:eastAsia="Arial" w:hAnsi="Arial"/>
        </w:rPr>
        <w:t xml:space="preserve">Derived Features</w:t>
      </w:r>
    </w:p>
    <w:p>
      <w:pPr>
        <w:pStyle w:val="ListParagraph"/>
        <w:numPr>
          <w:ilvl w:val="0"/>
          <w:numId w:val="2"/>
        </w:numPr>
        <w:spacing w:after="80" w:line="310"/>
        <w:jc w:val="both"/>
      </w:pPr>
      <w:r>
        <w:rPr>
          <w:rFonts w:ascii="Arial" w:cs="Arial" w:eastAsia="Arial" w:hAnsi="Arial"/>
          <w:b/>
          <w:bCs/>
        </w:rPr>
        <w:t xml:space="preserve">Excellent user experience (UX/UI):</w:t>
      </w:r>
      <w:r>
        <w:rPr>
          <w:rFonts w:ascii="Arial" w:cs="Arial" w:eastAsia="Arial" w:hAnsi="Arial"/>
        </w:rPr>
        <w:t xml:space="preserve"> consistent interfaces, few steps to complete a transaction, and fewer fields to be entered manually.</w:t>
      </w:r>
    </w:p>
    <w:p>
      <w:pPr>
        <w:pStyle w:val="ListParagraph"/>
        <w:numPr>
          <w:ilvl w:val="0"/>
          <w:numId w:val="2"/>
        </w:numPr>
        <w:spacing w:after="80" w:line="310"/>
        <w:jc w:val="both"/>
      </w:pPr>
      <w:r>
        <w:rPr>
          <w:rFonts w:ascii="Arial" w:cs="Arial" w:eastAsia="Arial" w:hAnsi="Arial"/>
          <w:b/>
          <w:bCs/>
        </w:rPr>
        <w:t xml:space="preserve">Smart service classification:</w:t>
      </w:r>
      <w:r>
        <w:rPr>
          <w:rFonts w:ascii="Arial" w:cs="Arial" w:eastAsia="Arial" w:hAnsi="Arial"/>
        </w:rPr>
        <w:t xml:space="preserve"> services are organized around the user's needs and life stages (housing, work, family) rather than around the administrative structure of the entities.</w:t>
      </w:r>
    </w:p>
    <w:p>
      <w:pPr>
        <w:pStyle w:val="Heading2"/>
      </w:pPr>
      <w:r>
        <w:rPr>
          <w:rFonts w:ascii="Arial" w:cs="Arial" w:eastAsia="Arial" w:hAnsi="Arial"/>
        </w:rPr>
        <w:t xml:space="preserve">Challenges and Obstacles</w:t>
      </w:r>
    </w:p>
    <w:p>
      <w:pPr>
        <w:pStyle w:val="ListParagraph"/>
        <w:numPr>
          <w:ilvl w:val="0"/>
          <w:numId w:val="2"/>
        </w:numPr>
        <w:spacing w:after="80" w:line="310"/>
        <w:jc w:val="both"/>
      </w:pPr>
      <w:r>
        <w:rPr>
          <w:rFonts w:ascii="Arial" w:cs="Arial" w:eastAsia="Arial" w:hAnsi="Arial"/>
          <w:b/>
          <w:bCs/>
        </w:rPr>
        <w:t xml:space="preserve">Dependence on complex integration with state ministries:</w:t>
      </w:r>
      <w:r>
        <w:rPr>
          <w:rFonts w:ascii="Arial" w:cs="Arial" w:eastAsia="Arial" w:hAnsi="Arial"/>
        </w:rPr>
        <w:t xml:space="preserve"> The model relies on direct connections to the databases of government entities and on a national digital identity, which cannot be applied in our project because no integration interfaces with official bodies are available.</w:t>
      </w:r>
    </w:p>
    <w:p>
      <w:pPr>
        <w:pStyle w:val="ListParagraph"/>
        <w:numPr>
          <w:ilvl w:val="0"/>
          <w:numId w:val="2"/>
        </w:numPr>
        <w:spacing w:after="80" w:line="310"/>
        <w:jc w:val="both"/>
      </w:pPr>
      <w:r>
        <w:rPr>
          <w:rFonts w:ascii="Arial" w:cs="Arial" w:eastAsia="Arial" w:hAnsi="Arial"/>
          <w:b/>
          <w:bCs/>
        </w:rPr>
        <w:t xml:space="preserve">Alternative adopted in our project:</w:t>
      </w:r>
      <w:r>
        <w:rPr>
          <w:rFonts w:ascii="Arial" w:cs="Arial" w:eastAsia="Arial" w:hAnsi="Arial"/>
        </w:rPr>
        <w:t xml:space="preserve"> Government integration is replaced by a simplified verification mechanism based on uploading the front and back images of the personal ID card together with the phone number when the account is created; the images are stored with the account and viewed by the competent employee when processing a request, without a prior account approval stage.</w:t>
      </w:r>
    </w:p>
    <w:p>
      <w:pPr>
        <w:pStyle w:val="Heading1"/>
      </w:pPr>
      <w:r>
        <w:rPr>
          <w:rFonts w:ascii="Arial" w:cs="Arial" w:eastAsia="Arial" w:hAnsi="Arial"/>
        </w:rPr>
        <w:t xml:space="preserve">4. Study of Global Platforms (UK Government Portal – GOV.UK)</w:t>
      </w:r>
    </w:p>
    <w:p>
      <w:pPr>
        <w:pStyle w:val="Heading2"/>
      </w:pPr>
      <w:r>
        <w:rPr>
          <w:rFonts w:ascii="Arial" w:cs="Arial" w:eastAsia="Arial" w:hAnsi="Arial"/>
        </w:rPr>
        <w:t xml:space="preserve">Workflow</w:t>
      </w:r>
    </w:p>
    <w:p>
      <w:pPr>
        <w:pStyle w:val="ListParagraph"/>
        <w:numPr>
          <w:ilvl w:val="0"/>
          <w:numId w:val="2"/>
        </w:numPr>
        <w:spacing w:after="80" w:line="310"/>
        <w:jc w:val="both"/>
      </w:pPr>
      <w:r>
        <w:rPr>
          <w:rFonts w:ascii="Arial" w:cs="Arial" w:eastAsia="Arial" w:hAnsi="Arial"/>
        </w:rPr>
        <w:t xml:space="preserve">Interfaces built on absolute simplicity (Minimalism) following a unified design system (GOV.UK Design System) that all services adhere to.</w:t>
      </w:r>
    </w:p>
    <w:p>
      <w:pPr>
        <w:pStyle w:val="ListParagraph"/>
        <w:numPr>
          <w:ilvl w:val="0"/>
          <w:numId w:val="2"/>
        </w:numPr>
        <w:spacing w:after="80" w:line="310"/>
        <w:jc w:val="both"/>
      </w:pPr>
      <w:r>
        <w:rPr>
          <w:rFonts w:ascii="Arial" w:cs="Arial" w:eastAsia="Arial" w:hAnsi="Arial"/>
        </w:rPr>
        <w:t xml:space="preserve">The user is guided step by step following the "One thing per page" pattern, with a final review page before submission.</w:t>
      </w:r>
    </w:p>
    <w:p>
      <w:pPr>
        <w:pStyle w:val="Heading2"/>
      </w:pPr>
      <w:r>
        <w:rPr>
          <w:rFonts w:ascii="Arial" w:cs="Arial" w:eastAsia="Arial" w:hAnsi="Arial"/>
        </w:rPr>
        <w:t xml:space="preserve">Derived Features</w:t>
      </w:r>
    </w:p>
    <w:p>
      <w:pPr>
        <w:pStyle w:val="ListParagraph"/>
        <w:numPr>
          <w:ilvl w:val="0"/>
          <w:numId w:val="2"/>
        </w:numPr>
        <w:spacing w:after="80" w:line="310"/>
        <w:jc w:val="both"/>
      </w:pPr>
      <w:r>
        <w:rPr>
          <w:rFonts w:ascii="Arial" w:cs="Arial" w:eastAsia="Arial" w:hAnsi="Arial"/>
          <w:b/>
          <w:bCs/>
        </w:rPr>
        <w:t xml:space="preserve">Simplicity of electronic forms:</w:t>
      </w:r>
      <w:r>
        <w:rPr>
          <w:rFonts w:ascii="Arial" w:cs="Arial" w:eastAsia="Arial" w:hAnsi="Arial"/>
        </w:rPr>
        <w:t xml:space="preserve"> long forms are split into short steps, with direct language and clear error messages linked to the relevant field, which lowers the rate of errors and incomplete requests.</w:t>
      </w:r>
    </w:p>
    <w:p>
      <w:pPr>
        <w:pStyle w:val="Heading2"/>
      </w:pPr>
      <w:r>
        <w:rPr>
          <w:rFonts w:ascii="Arial" w:cs="Arial" w:eastAsia="Arial" w:hAnsi="Arial"/>
        </w:rPr>
        <w:t xml:space="preserve">Drawbacks and Obstacles</w:t>
      </w:r>
    </w:p>
    <w:p>
      <w:pPr>
        <w:pStyle w:val="ListParagraph"/>
        <w:numPr>
          <w:ilvl w:val="0"/>
          <w:numId w:val="2"/>
        </w:numPr>
        <w:spacing w:after="80" w:line="310"/>
        <w:jc w:val="both"/>
      </w:pPr>
      <w:r>
        <w:rPr>
          <w:rFonts w:ascii="Arial" w:cs="Arial" w:eastAsia="Arial" w:hAnsi="Arial"/>
          <w:b/>
          <w:bCs/>
        </w:rPr>
        <w:t xml:space="preserve">Exclusive focus on the citizen:</w:t>
      </w:r>
      <w:r>
        <w:rPr>
          <w:rFonts w:ascii="Arial" w:cs="Arial" w:eastAsia="Arial" w:hAnsi="Arial"/>
        </w:rPr>
        <w:t xml:space="preserve"> The portal is designed for the public user interface and does not highlight internal monitoring and staff management, since back-office processing systems are left to each entity separately. In our system this aspect is a core part, not an add-on.</w:t>
      </w:r>
    </w:p>
    <w:p>
      <w:pPr>
        <w:pStyle w:val="Heading1"/>
      </w:pPr>
      <w:r>
        <w:rPr>
          <w:rFonts w:ascii="Arial" w:cs="Arial" w:eastAsia="Arial" w:hAnsi="Arial"/>
        </w:rPr>
        <w:t xml:space="preserve">5. Competitive Features of the Proposed System</w:t>
      </w:r>
    </w:p>
    <w:p>
      <w:pPr>
        <w:spacing w:after="140" w:line="320"/>
        <w:jc w:val="both"/>
        <w:sectPr>
          <w:footerReference w:type="default" r:id="rId6"/>
          <w:pgSz w:w="11906" w:h="16838" w:orient="portrait"/>
          <w:pgMar w:top="1300" w:right="1300" w:bottom="1300" w:left="1300" w:header="708" w:footer="708" w:gutter="0"/>
          <w:pgNumType/>
          <w:docGrid w:linePitch="360"/>
        </w:sectPr>
      </w:pPr>
      <w:r>
        <w:rPr>
          <w:rFonts w:ascii="Arial" w:cs="Arial" w:eastAsia="Arial" w:hAnsi="Arial"/>
        </w:rPr>
        <w:t xml:space="preserve">The proposed system combines what is applicable within the infrastructure available in Syria with the proven practices of the studied platforms. From the local infrastructure it adopts simplified verification using the ID card image and phone number as an alternative to the unavailable government integration, and the payment module is built behind a unified programming interface that currently works with the Stripe gateway in its test environment (Test Mode), allowing another gateway to be added later without modifying the rest of the system. From GOV.UK and the TAMM platform it adopts a smooth user experience based on step-by-step forms and on displaying requirements before submission. Its greatest strength lies in two aspects that are not visible in the public interfaces of the studied platforms, which most likely have their own internal systems that are not available for study: the </w:t>
      </w:r>
      <w:r>
        <w:rPr>
          <w:rFonts w:ascii="Arial" w:cs="Arial" w:eastAsia="Arial" w:hAnsi="Arial"/>
          <w:b/>
          <w:bCs/>
        </w:rPr>
        <w:t xml:space="preserve">dynamic administration panel</w:t>
      </w:r>
      <w:r>
        <w:rPr>
          <w:rFonts w:ascii="Arial" w:cs="Arial" w:eastAsia="Arial" w:hAnsi="Arial"/>
        </w:rPr>
        <w:t xml:space="preserve">, which lets each Department Manager add the department's transactions and modify their requirements (attachments, stamps, fees, fields) without writing code, and </w:t>
      </w:r>
      <w:r>
        <w:rPr>
          <w:rFonts w:ascii="Arial" w:cs="Arial" w:eastAsia="Arial" w:hAnsi="Arial"/>
          <w:b/>
          <w:bCs/>
        </w:rPr>
        <w:t xml:space="preserve">strict oversight</w:t>
      </w:r>
      <w:r>
        <w:rPr>
          <w:rFonts w:ascii="Arial" w:cs="Arial" w:eastAsia="Arial" w:hAnsi="Arial"/>
        </w:rPr>
        <w:t xml:space="preserve"> based on separation of permissions between the System Administrator, Department Managers and employees with each department's data isolated, on the citizen's rating of the processing employee, on complaints linked to the transaction, on Activity Logs that record every action with its performer and time, and on a performance dashboard built automatically from these data. These features do not mean that the system outperforms integrated, well-funded government platforms such as TAMM or GOV.UK; they mean that it suits the scope of a single service center with limited resources.</w:t>
      </w:r>
    </w:p>
    <w:p>
      <w:pPr>
        <w:pStyle w:val="Heading1"/>
      </w:pPr>
      <w:r>
        <w:rPr>
          <w:rFonts w:ascii="Arial" w:cs="Arial" w:eastAsia="Arial" w:hAnsi="Arial"/>
        </w:rPr>
        <w:t xml:space="preserve">6. Comprehensive Analytical Comparison Table</w:t>
      </w:r>
    </w:p>
    <w:tbl>
      <w:tblPr>
        <w:tblW w:type="dxa" w:w="14238"/>
        <w:tblBorders>
          <w:top w:val="single" w:color="auto" w:sz="4"/>
          <w:left w:val="single" w:color="auto" w:sz="4"/>
          <w:bottom w:val="single" w:color="auto" w:sz="4"/>
          <w:right w:val="single" w:color="auto" w:sz="4"/>
          <w:insideH w:val="single" w:color="auto" w:sz="4"/>
          <w:insideV w:val="single" w:color="auto" w:sz="4"/>
        </w:tblBorders>
      </w:tblPr>
      <w:tblGrid>
        <w:gridCol w:w="2238"/>
        <w:gridCol w:w="2400"/>
        <w:gridCol w:w="2400"/>
        <w:gridCol w:w="2400"/>
        <w:gridCol w:w="2400"/>
        <w:gridCol w:w="2400"/>
      </w:tblGrid>
      <w:tr>
        <w:trPr>
          <w:cantSplit/>
          <w:tblHeader/>
        </w:trPr>
        <w:tc>
          <w:tcPr>
            <w:tcW w:type="dxa" w:w="2238"/>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Comparison Criterion</w:t>
            </w:r>
          </w:p>
        </w:tc>
        <w:tc>
          <w:tcPr>
            <w:tcW w:type="dxa" w:w="2400"/>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Traditional Paper-Based System</w:t>
            </w:r>
          </w:p>
        </w:tc>
        <w:tc>
          <w:tcPr>
            <w:tcW w:type="dxa" w:w="2400"/>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Syrian Citizen Service Center</w:t>
            </w:r>
          </w:p>
        </w:tc>
        <w:tc>
          <w:tcPr>
            <w:tcW w:type="dxa" w:w="2400"/>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TAMM Platform (UAE)</w:t>
            </w:r>
          </w:p>
        </w:tc>
        <w:tc>
          <w:tcPr>
            <w:tcW w:type="dxa" w:w="2400"/>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GOV.UK Portal (UK)</w:t>
            </w:r>
          </w:p>
        </w:tc>
        <w:tc>
          <w:tcPr>
            <w:tcW w:type="dxa" w:w="2400"/>
            <w:tcBorders>
              <w:top w:val="single" w:color="8EAADB" w:sz="4"/>
              <w:left w:val="single" w:color="8EAADB" w:sz="4"/>
              <w:bottom w:val="single" w:color="8EAADB" w:sz="4"/>
              <w:right w:val="single" w:color="8EAADB" w:sz="4"/>
            </w:tcBorders>
            <w:shd w:fill="1F3864" w:color="auto" w:val="clear"/>
            <w:tcMar>
              <w:top w:type="dxa" w:w="80"/>
              <w:left w:type="dxa" w:w="90"/>
              <w:bottom w:type="dxa" w:w="80"/>
              <w:right w:type="dxa" w:w="90"/>
            </w:tcMar>
            <w:vAlign w:val="center"/>
          </w:tcPr>
          <w:p>
            <w:pPr>
              <w:spacing w:line="250"/>
              <w:jc w:val="center"/>
            </w:pPr>
            <w:r>
              <w:rPr>
                <w:rFonts w:ascii="Arial" w:cs="Arial" w:eastAsia="Arial" w:hAnsi="Arial"/>
                <w:b/>
                <w:bCs/>
                <w:color w:val="FFFFFF"/>
                <w:sz w:val="17"/>
                <w:szCs w:val="17"/>
              </w:rPr>
              <w:t xml:space="preserve">Proposed System</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1. Dynamic building and modification of services by management</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Not applicable, as there is no system at all; the transaction and its requirements are set by custom and orally at the Mukhtar's discretion.</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fixed list of transactions and forms; adding a transaction or modifying its requirements requires development work not offered by an administrative interface.</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Services are added by central development teams and integration with the entities that own them, not through a configuration tool used by a center manager.</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Each entity builds its digital service with its own technical team according to the service standard; there is no unified tool with which a single center manages its transactions.</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service builder that lets each Department Manager add the department's transactions and define their attachments, stamps, fees and fields without writing code; limited to simply structured transactions and does not cover complex multi-entity workflows.</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2. Request status tracking and notifications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The citizen receives no reference number; the status is known only through a personal visit or direct contact with the Mukhtar.</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Requests are followed through the user's account on the portal for automated transactions.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Request tracking and notifications within the unified application, linked to the digital identity account.</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The tracking and notification mechanism varies from one service to another because each entity builds its service independently.</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unique reference number for each request and a controlled status cycle (New, Awaiting Documents, Completed); notifications by email only, without SMS or a mobile application.</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3. Employee performance rating and direct complaints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No official channel; objections are made orally or escalated to a higher authority outside any documented record.</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The citizen cannot rate the processing employee or submit a complaint linked to the transaction itself within the portal.</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Customer satisfaction with the service is measured, but it targets service evaluation rather than holding a specific employee in a specific center accountable.</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User opinion is collected through satisfaction surveys on the digital service, without linking it to a processing employee.</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rating available to the citizen after completion, linked to the request and the employee, and a complaint routed to the employee's Department Manager (or to the System Administrator if it is against the Department Manager) that the person complained about cannot see.</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4. Identity verification and security mechanism</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Human verification by directly inspecting the ID card and personal knowledge of the citizen, with the Mukhtar's stamp and signature.</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user account on the portal linked to the citizen's data and to local payment methods.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unified national digital identity (UAE PASS) linked to official records, which requires national infrastructure.</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Central identity verification mechanisms based on matching data against government records.</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Front and back ID card images uploaded with the phone number at registration and viewed by the department employee when processing a request, plus permissions over four roles with each department's data isolated; a weaker mechanism than a national digital identity that does not prevent skilled document forgery.</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5. Electronic archiving and statistical reports (KPIs)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An unindexed paper register, if any; no statistics on the number of transactions or their processing time can be extracted.</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Automated requests are stored electronically, but management has no analytical dashboards on employee activity and stalled requests.</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Integrated government-wide electronic archiving; internal analytics are not exposed as part of the public platform.</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Indicators are published at the level of the digital service as a whole, not at the level of employee productivity.</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An electronic archive, a KPI dashboard and an activity log at department level for its manager and at center level for the System Administrator; within a single center and without integration with other entities.</w:t>
            </w:r>
          </w:p>
        </w:tc>
      </w:tr>
      <w:tr>
        <w:trPr>
          <w:cantSplit/>
          <w:tblHeader w:val="off"/>
        </w:trPr>
        <w:tc>
          <w:tcPr>
            <w:tcW w:type="dxa" w:w="2238"/>
            <w:tcBorders>
              <w:top w:val="single" w:color="8EAADB" w:sz="4"/>
              <w:left w:val="single" w:color="8EAADB" w:sz="4"/>
              <w:bottom w:val="single" w:color="8EAADB" w:sz="4"/>
              <w:right w:val="single" w:color="8EAADB" w:sz="4"/>
            </w:tcBorders>
            <w:shd w:fill="D9E2F3" w:color="auto" w:val="clear"/>
            <w:tcMar>
              <w:top w:type="dxa" w:w="80"/>
              <w:left w:type="dxa" w:w="90"/>
              <w:bottom w:type="dxa" w:w="80"/>
              <w:right w:type="dxa" w:w="90"/>
            </w:tcMar>
            <w:vAlign w:val="center"/>
          </w:tcPr>
          <w:p>
            <w:pPr>
              <w:spacing w:line="250"/>
              <w:jc w:val="center"/>
            </w:pPr>
            <w:r>
              <w:rPr>
                <w:rFonts w:ascii="Arial" w:cs="Arial" w:eastAsia="Arial" w:hAnsi="Arial"/>
                <w:b/>
                <w:bCs/>
                <w:sz w:val="17"/>
                <w:szCs w:val="17"/>
              </w:rPr>
              <w:t xml:space="preserve">6. Electronic payment mechanism</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Direct cash collection and paper stamps without a traceable electronic receipt linked to the transaction.</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Payment through local payment gateways connected to banks and electronic payment methods inside Syria.</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Integrated electronic payment within the emirate's government and banking infrastructure.</w:t>
            </w:r>
          </w:p>
        </w:tc>
        <w:tc>
          <w:tcPr>
            <w:tcW w:type="dxa" w:w="2400"/>
            <w:tcBorders>
              <w:top w:val="single" w:color="8EAADB" w:sz="4"/>
              <w:left w:val="single" w:color="8EAADB" w:sz="4"/>
              <w:bottom w:val="single" w:color="8EAADB" w:sz="4"/>
              <w:right w:val="single" w:color="8EAADB" w:sz="4"/>
            </w:tcBorders>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A shared government payment service (GOV.UK Pay) that entities integrate into their services.</w:t>
            </w:r>
          </w:p>
        </w:tc>
        <w:tc>
          <w:tcPr>
            <w:tcW w:type="dxa" w:w="2400"/>
            <w:tcBorders>
              <w:top w:val="single" w:color="8EAADB" w:sz="4"/>
              <w:left w:val="single" w:color="8EAADB" w:sz="4"/>
              <w:bottom w:val="single" w:color="8EAADB" w:sz="4"/>
              <w:right w:val="single" w:color="8EAADB" w:sz="4"/>
            </w:tcBorders>
            <w:shd w:fill="E8EEF8" w:color="auto" w:val="clear"/>
            <w:tcMar>
              <w:top w:type="dxa" w:w="80"/>
              <w:left w:type="dxa" w:w="90"/>
              <w:bottom w:type="dxa" w:w="80"/>
              <w:right w:type="dxa" w:w="90"/>
            </w:tcMar>
            <w:vAlign w:val="center"/>
          </w:tcPr>
          <w:p>
            <w:pPr>
              <w:spacing w:line="250"/>
              <w:jc w:val="left"/>
            </w:pPr>
            <w:r>
              <w:rPr>
                <w:rFonts w:ascii="Arial" w:cs="Arial" w:eastAsia="Arial" w:hAnsi="Arial"/>
                <w:b w:val="false"/>
                <w:bCs w:val="false"/>
                <w:sz w:val="17"/>
                <w:szCs w:val="17"/>
              </w:rPr>
              <w:t xml:space="preserve">The Stripe gateway in its test environment behind a unified payment interface with Webhook confirmation; no real money is collected.</w:t>
            </w:r>
          </w:p>
        </w:tc>
      </w:tr>
    </w:tbl>
    <w:p>
      <w:pPr>
        <w:sectPr>
          <w:footerReference w:type="default" r:id="rId7"/>
          <w:pgSz w:w="16838" w:h="11906" w:orient="landscape"/>
          <w:pgMar w:top="1300" w:right="1300" w:bottom="1300" w:left="1300" w:header="708" w:footer="708" w:gutter="0"/>
          <w:pgNumType/>
          <w:docGrid w:linePitch="360"/>
        </w:sectPr>
      </w:pPr>
    </w:p>
    <w:p>
      <w:pPr>
        <w:pStyle w:val="Heading1"/>
      </w:pPr>
      <w:r>
        <w:rPr>
          <w:rFonts w:ascii="Arial" w:cs="Arial" w:eastAsia="Arial" w:hAnsi="Arial"/>
        </w:rPr>
        <w:t xml:space="preserve">7. Conclusion</w:t>
      </w:r>
    </w:p>
    <w:p>
      <w:pPr>
        <w:spacing w:after="140" w:line="320"/>
        <w:jc w:val="both"/>
      </w:pPr>
      <w:r>
        <w:rPr>
          <w:rFonts w:ascii="Arial" w:cs="Arial" w:eastAsia="Arial" w:hAnsi="Arial"/>
        </w:rPr>
        <w:t xml:space="preserve">The proposed system is not a solution to infrastructure problems: it provides no connection to civil registry databases, no national digital identity and no legally certified electronic signature, and its performance remains dependent on Internet availability and on the center's commitment to using it. What it offers is a sound engineering application that closes a specific gap at the local level between management and citizens: moving the transaction from an untraceable paper path to a documented electronic path, enabling management to manage its services without programming, and enabling it to measure the performance of its employees and hold them accountable with actual data. This was built by drawing directly on the experience of the studied platforms: human verification from the traditional system, the feasibility of local payment from the Syrian Citizen Service Center, service classification and user experience from the TAMM platform, and form simplicity from GOV.UK.</w:t>
      </w:r>
    </w:p>
    <w:sectPr>
      <w:footerReference w:type="default" r:id="rId8"/>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George Albeir Zalloum</dc:creator>
  <cp:lastModifiedBy>Un-named</cp:lastModifiedBy>
  <cp:revision>1</cp:revision>
  <dcterms:created xsi:type="dcterms:W3CDTF">2026-10-26T15:26:48.026Z</dcterms:created>
  <dcterms:modified xsi:type="dcterms:W3CDTF">2026-10-26T15:26:48.027Z</dcterms:modified>
</cp:coreProperties>
</file>

<file path=docProps/custom.xml><?xml version="1.0" encoding="utf-8"?>
<Properties xmlns="http://schemas.openxmlformats.org/officeDocument/2006/custom-properties" xmlns:vt="http://schemas.openxmlformats.org/officeDocument/2006/docPropsVTypes"/>
</file>