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Arial" w:cs="Arial" w:eastAsia="Arial" w:hAnsi="Arial"/>
          <w:b/>
          <w:bCs/>
          <w:color w:val="1F3864"/>
          <w:sz w:val="40"/>
          <w:szCs w:val="40"/>
        </w:rPr>
        <w:t xml:space="preserve">Non-Functional Requirements</w:t>
      </w:r>
    </w:p>
    <w:p>
      <w:pPr>
        <w:spacing w:after="80"/>
        <w:jc w:val="center"/>
      </w:pPr>
      <w:r>
        <w:rPr>
          <w:rFonts w:ascii="Arial" w:cs="Arial" w:eastAsia="Arial" w:hAnsi="Arial"/>
          <w:color w:val="2E5597"/>
          <w:sz w:val="30"/>
          <w:szCs w:val="30"/>
        </w:rPr>
        <w:t xml:space="preserve">Citizen Service Center Management Web System</w:t>
      </w:r>
    </w:p>
    <w:p>
      <w:pPr>
        <w:pBdr>
          <w:bottom w:val="single" w:color="2E5597" w:sz="8" w:space="8"/>
        </w:pBdr>
        <w:spacing w:after="360"/>
        <w:jc w:val="center"/>
      </w:pPr>
      <w:r>
        <w:rPr>
          <w:rFonts w:ascii="Arial" w:cs="Arial" w:eastAsia="Arial" w:hAnsi="Arial"/>
          <w:color w:val="595959"/>
          <w:sz w:val="24"/>
          <w:szCs w:val="24"/>
        </w:rPr>
        <w:t xml:space="preserve">Graduation Project – Department of Software Engineering</w:t>
      </w:r>
    </w:p>
    <w:p>
      <w:pPr>
        <w:pStyle w:val="Heading1"/>
      </w:pPr>
      <w:r>
        <w:rPr>
          <w:rFonts w:ascii="Arial" w:cs="Arial" w:eastAsia="Arial" w:hAnsi="Arial"/>
        </w:rPr>
        <w:t xml:space="preserve">1. Introduction</w:t>
      </w:r>
    </w:p>
    <w:p>
      <w:pPr>
        <w:spacing w:after="140" w:line="320"/>
        <w:jc w:val="both"/>
      </w:pPr>
      <w:r>
        <w:rPr>
          <w:rFonts w:ascii="Arial" w:cs="Arial" w:eastAsia="Arial" w:hAnsi="Arial"/>
        </w:rPr>
        <w:t xml:space="preserve">Non-functional requirements describe the qualities the system must have, rather than the functions it provides. This document lists only requirements that are measurable and already enforced by the system or fixed by approved project decisions; the values (session duration, lock threshold, file size, page size) are those configured in the server settings.</w:t>
      </w:r>
    </w:p>
    <w:p>
      <w:pPr>
        <w:pStyle w:val="ListParagraph"/>
        <w:numPr>
          <w:ilvl w:val="0"/>
          <w:numId w:val="2"/>
        </w:numPr>
        <w:spacing w:after="80" w:line="310"/>
        <w:jc w:val="both"/>
      </w:pPr>
      <w:r>
        <w:rPr>
          <w:rFonts w:ascii="Arial" w:cs="Arial" w:eastAsia="Arial" w:hAnsi="Arial"/>
          <w:b/>
          <w:bCs/>
        </w:rPr>
        <w:t xml:space="preserve">12 requirements</w:t>
      </w:r>
      <w:r>
        <w:rPr>
          <w:rFonts w:ascii="Arial" w:cs="Arial" w:eastAsia="Arial" w:hAnsi="Arial"/>
        </w:rPr>
        <w:t xml:space="preserve"> in 6 categories: </w:t>
      </w:r>
      <w:r>
        <w:rPr>
          <w:rFonts w:ascii="Arial" w:cs="Arial" w:eastAsia="Arial" w:hAnsi="Arial"/>
          <w:b/>
          <w:bCs/>
        </w:rPr>
        <w:t xml:space="preserve">11 implemented</w:t>
      </w:r>
      <w:r>
        <w:rPr>
          <w:rFonts w:ascii="Arial" w:cs="Arial" w:eastAsia="Arial" w:hAnsi="Arial"/>
        </w:rPr>
        <w:t xml:space="preserve"> in the Sprint 1 server, and 1 planned for the sprint that introduces the related module.</w:t>
      </w:r>
    </w:p>
    <w:p>
      <w:pPr>
        <w:pStyle w:val="ListParagraph"/>
        <w:numPr>
          <w:ilvl w:val="0"/>
          <w:numId w:val="2"/>
        </w:numPr>
        <w:spacing w:after="80" w:line="310"/>
        <w:jc w:val="both"/>
      </w:pPr>
      <w:r>
        <w:rPr>
          <w:rFonts w:ascii="Arial" w:cs="Arial" w:eastAsia="Arial" w:hAnsi="Arial"/>
          <w:b/>
          <w:bCs/>
        </w:rPr>
        <w:t xml:space="preserve">Priority:</w:t>
      </w:r>
      <w:r>
        <w:rPr>
          <w:rFonts w:ascii="Arial" w:cs="Arial" w:eastAsia="Arial" w:hAnsi="Arial"/>
        </w:rPr>
        <w:t xml:space="preserve"> High, Medium or Low, with the same colors as the functional requirements.</w:t>
      </w:r>
    </w:p>
    <w:p>
      <w:pPr>
        <w:pStyle w:val="Heading1"/>
      </w:pPr>
      <w:r>
        <w:rPr>
          <w:rFonts w:ascii="Arial" w:cs="Arial" w:eastAsia="Arial" w:hAnsi="Arial"/>
        </w:rPr>
        <w:t xml:space="preserve">2.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4206"/>
        <w:gridCol w:w="900"/>
        <w:gridCol w:w="1250"/>
      </w:tblGrid>
      <w:tr>
        <w:trPr>
          <w:tblHeader/>
        </w:trPr>
        <w:tc>
          <w:tcPr>
            <w:tcW w:type="dxa" w:w="125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keepNext w:val="false"/>
              <w:spacing w:line="250"/>
              <w:jc w:val="center"/>
            </w:pPr>
            <w:r>
              <w:rPr>
                <w:rFonts w:ascii="Arial" w:cs="Arial" w:eastAsia="Arial" w:hAnsi="Arial"/>
                <w:b/>
                <w:bCs/>
                <w:color w:val="FFFFFF"/>
                <w:sz w:val="18"/>
                <w:szCs w:val="18"/>
              </w:rPr>
              <w:t xml:space="preserve">Code</w:t>
            </w:r>
          </w:p>
        </w:tc>
        <w:tc>
          <w:tcPr>
            <w:tcW w:type="dxa" w:w="19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keepNext w:val="false"/>
              <w:spacing w:line="250"/>
              <w:jc w:val="center"/>
            </w:pPr>
            <w:r>
              <w:rPr>
                <w:rFonts w:ascii="Arial" w:cs="Arial" w:eastAsia="Arial" w:hAnsi="Arial"/>
                <w:b/>
                <w:bCs/>
                <w:color w:val="FFFFFF"/>
                <w:sz w:val="18"/>
                <w:szCs w:val="18"/>
              </w:rPr>
              <w:t xml:space="preserve">Requirement</w:t>
            </w:r>
          </w:p>
        </w:tc>
        <w:tc>
          <w:tcPr>
            <w:tcW w:type="dxa" w:w="4206"/>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keepNext w:val="false"/>
              <w:spacing w:line="250"/>
              <w:jc w:val="center"/>
            </w:pPr>
            <w:r>
              <w:rPr>
                <w:rFonts w:ascii="Arial" w:cs="Arial" w:eastAsia="Arial" w:hAnsi="Arial"/>
                <w:b/>
                <w:bCs/>
                <w:color w:val="FFFFFF"/>
                <w:sz w:val="18"/>
                <w:szCs w:val="18"/>
              </w:rPr>
              <w:t xml:space="preserve">Description</w:t>
            </w:r>
          </w:p>
        </w:tc>
        <w:tc>
          <w:tcPr>
            <w:tcW w:type="dxa" w:w="90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keepNext w:val="false"/>
              <w:spacing w:line="250"/>
              <w:jc w:val="center"/>
            </w:pPr>
            <w:r>
              <w:rPr>
                <w:rFonts w:ascii="Arial" w:cs="Arial" w:eastAsia="Arial" w:hAnsi="Arial"/>
                <w:b/>
                <w:bCs/>
                <w:color w:val="FFFFFF"/>
                <w:sz w:val="18"/>
                <w:szCs w:val="18"/>
              </w:rPr>
              <w:t xml:space="preserve">Priority</w:t>
            </w:r>
          </w:p>
        </w:tc>
        <w:tc>
          <w:tcPr>
            <w:tcW w:type="dxa" w:w="1250"/>
            <w:tcBorders>
              <w:top w:val="single" w:color="8EAADB" w:sz="4"/>
              <w:left w:val="single" w:color="8EAADB" w:sz="4"/>
              <w:bottom w:val="single" w:color="8EAADB" w:sz="4"/>
              <w:right w:val="single" w:color="8EAADB" w:sz="4"/>
            </w:tcBorders>
            <w:shd w:fill="1F3864" w:color="auto" w:val="clear"/>
            <w:tcMar>
              <w:top w:type="dxa" w:w="60"/>
              <w:left w:type="dxa" w:w="80"/>
              <w:bottom w:type="dxa" w:w="60"/>
              <w:right w:type="dxa" w:w="80"/>
            </w:tcMar>
            <w:vAlign w:val="center"/>
          </w:tcPr>
          <w:p>
            <w:pPr>
              <w:keepNext w:val="false"/>
              <w:spacing w:line="250"/>
              <w:jc w:val="center"/>
            </w:pPr>
            <w:r>
              <w:rPr>
                <w:rFonts w:ascii="Arial" w:cs="Arial" w:eastAsia="Arial" w:hAnsi="Arial"/>
                <w:b/>
                <w:bCs/>
                <w:color w:val="FFFFFF"/>
                <w:sz w:val="18"/>
                <w:szCs w:val="18"/>
              </w:rPr>
              <w:t xml:space="preserve">Status</w:t>
            </w:r>
          </w:p>
        </w:tc>
      </w:tr>
      <w:t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keepNext/>
              <w:spacing w:line="250"/>
              <w:jc w:val="left"/>
            </w:pPr>
            <w:r>
              <w:rPr>
                <w:rFonts w:ascii="Arial" w:cs="Arial" w:eastAsia="Arial" w:hAnsi="Arial"/>
                <w:b/>
                <w:bCs/>
                <w:sz w:val="19"/>
                <w:szCs w:val="19"/>
              </w:rPr>
              <w:t xml:space="preserve">Security</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NFR-SEC-01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Password protection</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Passwords are never stored in plain text; they are hashed with Django's password hasher. A password has at least 8 characters with an uppercase letter, a lowercase letter and a digit.</w:t>
            </w:r>
          </w:p>
        </w:tc>
        <w:tc>
          <w:tcPr>
            <w:tcW w:type="dxa" w:w="9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High</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NFR-SEC-02</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Session security</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Users are authenticated with a server-side session in an HttpOnly cookie that expires after 8 hours. Every POST, PUT, PATCH and DELETE request must carry a valid CSRF token.</w:t>
            </w:r>
          </w:p>
        </w:tc>
        <w:tc>
          <w:tcPr>
            <w:tcW w:type="dxa" w:w="9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High</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NFR-SEC-03</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Protection against repeated login attempts</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After 5 consecutive failed login attempts the account is locked for 15 minutes, and the response states the remaining lock time.</w:t>
            </w:r>
          </w:p>
        </w:tc>
        <w:tc>
          <w:tcPr>
            <w:tcW w:type="dxa" w:w="9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High</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NFR-SEC-04</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Server-side access control and department isolation</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Every endpoint checks the user's role on the server. The Employee and the Department Manager receive only the data of their own department, and a manually modified request for another department's data is rejected.</w:t>
            </w:r>
          </w:p>
        </w:tc>
        <w:tc>
          <w:tcPr>
            <w:tcW w:type="dxa" w:w="9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High</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NFR-SEC-05</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Protection of uploaded identity images</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ID card images are accepted only as JPG or PNG up to 5 MB, are stored outside any public URL, and are downloaded only through endpoints that check permissions.</w:t>
            </w:r>
          </w:p>
        </w:tc>
        <w:tc>
          <w:tcPr>
            <w:tcW w:type="dxa" w:w="9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High</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NFR-SEC-06</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Payment safety</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The system never receives card data: payment runs on Stripe's test checkout page, and a payment is accepted only after a webhook whose signature is verified.</w:t>
            </w:r>
          </w:p>
        </w:tc>
        <w:tc>
          <w:tcPr>
            <w:tcW w:type="dxa" w:w="9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High</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Planned (Sprint 3)</w:t>
            </w:r>
          </w:p>
        </w:tc>
      </w:tr>
      <w:t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keepNext/>
              <w:spacing w:line="250"/>
              <w:jc w:val="left"/>
            </w:pPr>
            <w:r>
              <w:rPr>
                <w:rFonts w:ascii="Arial" w:cs="Arial" w:eastAsia="Arial" w:hAnsi="Arial"/>
                <w:b/>
                <w:bCs/>
                <w:sz w:val="19"/>
                <w:szCs w:val="19"/>
              </w:rPr>
              <w:t xml:space="preserve">Auditability</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NFR-AUD-01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Immutable activity log</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Every sensitive operation is logged with its performer, time and IP address, including rejected attempts. A database trigger prevents updating or deleting log records by anyone, including the System Administrator.</w:t>
            </w:r>
          </w:p>
        </w:tc>
        <w:tc>
          <w:tcPr>
            <w:tcW w:type="dxa" w:w="9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High</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keepNext/>
              <w:spacing w:line="250"/>
              <w:jc w:val="left"/>
            </w:pPr>
            <w:r>
              <w:rPr>
                <w:rFonts w:ascii="Arial" w:cs="Arial" w:eastAsia="Arial" w:hAnsi="Arial"/>
                <w:b/>
                <w:bCs/>
                <w:sz w:val="19"/>
                <w:szCs w:val="19"/>
              </w:rPr>
              <w:t xml:space="preserve">Reliability and Data Integrity</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NFR-REL-01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Consistent data</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Operations that change several records run in a single database transaction, and the database enforces uniqueness rules (such as one account per phone number) and valid formats (11-digit national number, phone number 09XXXXXXXX).</w:t>
            </w:r>
          </w:p>
        </w:tc>
        <w:tc>
          <w:tcPr>
            <w:tcW w:type="dxa" w:w="900"/>
            <w:tcBorders>
              <w:top w:val="single" w:color="8EAADB" w:sz="4"/>
              <w:left w:val="single" w:color="8EAADB" w:sz="4"/>
              <w:bottom w:val="single" w:color="8EAADB" w:sz="4"/>
              <w:right w:val="single" w:color="8EAADB" w:sz="4"/>
            </w:tcBorders>
            <w:shd w:fill="F8D7DA"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High</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keepNext/>
              <w:spacing w:line="250"/>
              <w:jc w:val="left"/>
            </w:pPr>
            <w:r>
              <w:rPr>
                <w:rFonts w:ascii="Arial" w:cs="Arial" w:eastAsia="Arial" w:hAnsi="Arial"/>
                <w:b/>
                <w:bCs/>
                <w:sz w:val="19"/>
                <w:szCs w:val="19"/>
              </w:rPr>
              <w:t xml:space="preserve">Performance</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NFR-PER-01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Paginated lists</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Every list endpoint returns its results in pages: 20 items by default and at most 100 items per page, so that response size does not grow with the data.</w:t>
            </w:r>
          </w:p>
        </w:tc>
        <w:tc>
          <w:tcPr>
            <w:tcW w:type="dxa" w:w="9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Medium</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keepNext/>
              <w:spacing w:line="250"/>
              <w:jc w:val="left"/>
            </w:pPr>
            <w:r>
              <w:rPr>
                <w:rFonts w:ascii="Arial" w:cs="Arial" w:eastAsia="Arial" w:hAnsi="Arial"/>
                <w:b/>
                <w:bCs/>
                <w:sz w:val="19"/>
                <w:szCs w:val="19"/>
              </w:rPr>
              <w:t xml:space="preserve">Interoperability and Usability</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NFR-INT-01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Uniform API contract</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All responses use one JSON format: {success, message, data, meta} on success and {success: false, error: {type, code, details}} on failure, with field-level error details. The API is documented in OpenAPI and viewable in Swagger.</w:t>
            </w:r>
          </w:p>
        </w:tc>
        <w:tc>
          <w:tcPr>
            <w:tcW w:type="dxa" w:w="9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Medium</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c>
          <w:tcPr>
            <w:tcW w:type="dxa" w:w="9506"/>
            <w:gridSpan w:val="5"/>
            <w:tcBorders>
              <w:top w:val="single" w:color="8EAADB" w:sz="4"/>
              <w:left w:val="single" w:color="8EAADB" w:sz="4"/>
              <w:bottom w:val="single" w:color="8EAADB" w:sz="4"/>
              <w:right w:val="single" w:color="8EAADB" w:sz="4"/>
            </w:tcBorders>
            <w:shd w:fill="D9E2F3" w:color="auto" w:val="clear"/>
            <w:tcMar>
              <w:top w:type="dxa" w:w="60"/>
              <w:left w:type="dxa" w:w="80"/>
              <w:bottom w:type="dxa" w:w="60"/>
              <w:right w:type="dxa" w:w="80"/>
            </w:tcMar>
            <w:vAlign w:val="center"/>
          </w:tcPr>
          <w:p>
            <w:pPr>
              <w:keepNext/>
              <w:spacing w:line="250"/>
              <w:jc w:val="left"/>
            </w:pPr>
            <w:r>
              <w:rPr>
                <w:rFonts w:ascii="Arial" w:cs="Arial" w:eastAsia="Arial" w:hAnsi="Arial"/>
                <w:b/>
                <w:bCs/>
                <w:sz w:val="19"/>
                <w:szCs w:val="19"/>
              </w:rPr>
              <w:t xml:space="preserve">Maintainability and Testability</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NFR-MNT-01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Modular structure</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Each domain is a separate Django app with the same internal layers (models, repositories, selectors, services, API, tests), so a new sprint adds a module without changing the previous ones.</w:t>
            </w:r>
          </w:p>
        </w:tc>
        <w:tc>
          <w:tcPr>
            <w:tcW w:type="dxa" w:w="9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Medium</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r>
        <w:trPr>
          <w:cantSplit/>
        </w:trPr>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NFR-TST-01</w:t>
            </w:r>
          </w:p>
        </w:tc>
        <w:tc>
          <w:tcPr>
            <w:tcW w:type="dxa" w:w="190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b/>
                <w:bCs/>
                <w:sz w:val="18"/>
                <w:szCs w:val="18"/>
              </w:rPr>
              <w:t xml:space="preserve">Automated testing</w:t>
            </w:r>
          </w:p>
        </w:tc>
        <w:tc>
          <w:tcPr>
            <w:tcW w:type="dxa" w:w="4206"/>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left"/>
            </w:pPr>
            <w:r>
              <w:rPr>
                <w:rFonts w:ascii="Arial" w:cs="Arial" w:eastAsia="Arial" w:hAnsi="Arial"/>
                <w:sz w:val="18"/>
                <w:szCs w:val="18"/>
              </w:rPr>
              <w:t xml:space="preserve">Each use case and its alternative flows are covered by automated API tests run on PostgreSQL; a requirement is done only when its tests pass (Definition of Done).</w:t>
            </w:r>
          </w:p>
        </w:tc>
        <w:tc>
          <w:tcPr>
            <w:tcW w:type="dxa" w:w="900"/>
            <w:tcBorders>
              <w:top w:val="single" w:color="8EAADB" w:sz="4"/>
              <w:left w:val="single" w:color="8EAADB" w:sz="4"/>
              <w:bottom w:val="single" w:color="8EAADB" w:sz="4"/>
              <w:right w:val="single" w:color="8EAADB" w:sz="4"/>
            </w:tcBorders>
            <w:shd w:fill="FFF3CD" w:color="auto" w:val="clear"/>
            <w:tcMar>
              <w:top w:type="dxa" w:w="60"/>
              <w:left w:type="dxa" w:w="80"/>
              <w:bottom w:type="dxa" w:w="60"/>
              <w:right w:type="dxa" w:w="80"/>
            </w:tcMar>
            <w:vAlign w:val="center"/>
          </w:tcPr>
          <w:p>
            <w:pPr>
              <w:keepNext w:val="false"/>
              <w:spacing w:line="250"/>
              <w:jc w:val="center"/>
            </w:pPr>
            <w:r>
              <w:rPr>
                <w:rFonts w:ascii="Arial" w:cs="Arial" w:eastAsia="Arial" w:hAnsi="Arial"/>
                <w:sz w:val="18"/>
                <w:szCs w:val="18"/>
              </w:rPr>
              <w:t xml:space="preserve">Medium</w:t>
            </w:r>
          </w:p>
        </w:tc>
        <w:tc>
          <w:tcPr>
            <w:tcW w:type="dxa" w:w="1250"/>
            <w:tcBorders>
              <w:top w:val="single" w:color="8EAADB" w:sz="4"/>
              <w:left w:val="single" w:color="8EAADB" w:sz="4"/>
              <w:bottom w:val="single" w:color="8EAADB" w:sz="4"/>
              <w:right w:val="single" w:color="8EAADB" w:sz="4"/>
            </w:tcBorders>
            <w:tcMar>
              <w:top w:type="dxa" w:w="60"/>
              <w:left w:type="dxa" w:w="80"/>
              <w:bottom w:type="dxa" w:w="60"/>
              <w:right w:type="dxa" w:w="80"/>
            </w:tcMar>
            <w:vAlign w:val="center"/>
          </w:tcPr>
          <w:p>
            <w:pPr>
              <w:keepNext w:val="false"/>
              <w:spacing w:line="250"/>
              <w:jc w:val="center"/>
            </w:pPr>
            <w:r>
              <w:rPr>
                <w:rFonts w:ascii="Arial" w:cs="Arial" w:eastAsia="Arial" w:hAnsi="Arial"/>
                <w:sz w:val="17"/>
                <w:szCs w:val="17"/>
              </w:rPr>
              <w:t xml:space="preserve">Implemented (Sprint 1)</w:t>
            </w:r>
          </w:p>
        </w:tc>
      </w:tr>
    </w:tbl>
    <w:sectPr>
      <w:footerReference w:type="default" r:id="rId6"/>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sz w:val="16"/>
        <w:szCs w:val="16"/>
      </w:rPr>
    </w:lvl>
    <w:lvl w:ilvl="1" w:tentative="1">
      <w:start w:val="1"/>
      <w:numFmt w:val="bullet"/>
      <w:lvlText w:val="○"/>
      <w:lvlJc w:val="left"/>
      <w:pPr>
        <w:ind w:left="1080" w:hanging="300"/>
      </w:pPr>
      <w:rPr>
        <w:sz w:val="16"/>
        <w:szCs w:val="16"/>
      </w:rPr>
    </w:lvl>
  </w:abstractNum>
  <w:abstractNum w:abstractNumId="3" w15:restartNumberingAfterBreak="0">
    <w:multiLevelType w:val="hybridMultilevel"/>
    <w:lvl w:ilvl="0" w: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5597"/>
      <w:sz w:val="28"/>
      <w:szCs w:val="28"/>
    </w:rPr>
  </w:style>
  <w:style w:type="paragraph" w:styleId="Heading3">
    <w:name w:val="Heading 3"/>
    <w:basedOn w:val="Normal"/>
    <w:next w:val="Normal"/>
    <w:qFormat/>
    <w:pPr>
      <w:keepNext/>
      <w:spacing w:after="100" w:before="20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Non-Functional Requirements</dc:title>
  <dc:creator>George Albeir Zalloum</dc:creator>
  <cp:lastModifiedBy>Un-named</cp:lastModifiedBy>
  <cp:revision>1</cp:revision>
  <dcterms:created xsi:type="dcterms:W3CDTF">2026-10-27T17:47:33.015Z</dcterms:created>
  <dcterms:modified xsi:type="dcterms:W3CDTF">2026-10-27T17:47:33.016Z</dcterms:modified>
</cp:coreProperties>
</file>

<file path=docProps/custom.xml><?xml version="1.0" encoding="utf-8"?>
<Properties xmlns="http://schemas.openxmlformats.org/officeDocument/2006/custom-properties" xmlns:vt="http://schemas.openxmlformats.org/officeDocument/2006/docPropsVTypes"/>
</file>