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ENTERPRISE SECURITY ARCHITECTURE</w:t>
      </w:r>
    </w:p>
    <w:p>
      <w:pPr>
        <w:jc w:val="center"/>
      </w:pPr>
      <w:r>
        <w:rPr>
          <w:rFonts w:ascii="Aptos Display" w:hAnsi="Aptos Display"/>
          <w:b/>
          <w:color w:val="12304A"/>
          <w:sz w:val="54"/>
        </w:rPr>
        <w:t>Multi-Account, Fully Automated,</w:t>
        <w:br/>
        <w:t>Self-Healing Security Platform on AWS</w:t>
      </w:r>
    </w:p>
    <w:p>
      <w:pPr>
        <w:pStyle w:val="Subtitle"/>
        <w:jc w:val="center"/>
      </w:pPr>
      <w:r>
        <w:t>Design, deployment, validation, and audit evidence guide</w:t>
      </w:r>
    </w:p>
    <w:p>
      <w:pPr>
        <w:jc w:val="center"/>
      </w:pPr>
      <w:r>
        <w:t>Prepared for: Nairobi-based regulated fintech</w:t>
        <w:br/>
        <w:t>Prepared by: George Eupa</w:t>
        <w:br/>
        <w:t>Primary AWS Region: us-east-2 (Ohio)</w:t>
        <w:br/>
        <w:t>Management account: 495013583310</w:t>
        <w:br/>
        <w:t>Document version: 1.0 | 27 August 2026</w:t>
      </w:r>
    </w:p>
    <w:p>
      <w:pPr>
        <w:pStyle w:val="Heading1"/>
      </w:pPr>
      <w:r>
        <w:t>PURPOSE</w:t>
      </w:r>
    </w:p>
    <w:p>
      <w:r>
        <w:t>This document defines an exam-level target architecture and a reproducible implementation sequence for a secure AWS landing zone. It connects governance, zero-trust identity, automated incident response, continuous compliance, edge protection, encryption, and auditable validation. Every implementation step is designed to be rerun safely, verified through AWS CLI output, and captured as assessment evidence.</w:t>
      </w:r>
    </w:p>
    <w:p>
      <w:pPr>
        <w:pStyle w:val="Heading2"/>
      </w:pPr>
      <w:r>
        <w:t>Success criteria</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6E75"/>
          </w:tcPr>
          <w:p>
            <w:r/>
            <w:r>
              <w:rPr>
                <w:rFonts w:ascii="Aptos" w:hAnsi="Aptos"/>
                <w:b/>
                <w:color w:val="FFFFFF"/>
                <w:sz w:val="16"/>
              </w:rPr>
              <w:t>Outcome</w:t>
            </w:r>
          </w:p>
        </w:tc>
        <w:tc>
          <w:tcPr>
            <w:tcW w:type="dxa" w:w="5040"/>
            <w:vAlign w:val="center"/>
            <w:shd w:fill="0B6E75"/>
          </w:tcPr>
          <w:p>
            <w:r/>
            <w:r>
              <w:rPr>
                <w:rFonts w:ascii="Aptos" w:hAnsi="Aptos"/>
                <w:b/>
                <w:color w:val="FFFFFF"/>
                <w:sz w:val="16"/>
              </w:rPr>
              <w:t>Acceptance test</w:t>
            </w:r>
          </w:p>
        </w:tc>
      </w:tr>
      <w:tr>
        <w:tc>
          <w:tcPr>
            <w:tcW w:type="dxa" w:w="5040"/>
            <w:vAlign w:val="center"/>
          </w:tcPr>
          <w:p>
            <w:r/>
            <w:r>
              <w:rPr>
                <w:rFonts w:ascii="Aptos" w:hAnsi="Aptos"/>
                <w:b w:val="0"/>
                <w:sz w:val="16"/>
              </w:rPr>
              <w:t>Prevent destructive production actions</w:t>
            </w:r>
          </w:p>
        </w:tc>
        <w:tc>
          <w:tcPr>
            <w:tcW w:type="dxa" w:w="5040"/>
            <w:vAlign w:val="center"/>
          </w:tcPr>
          <w:p>
            <w:r/>
            <w:r>
              <w:rPr>
                <w:rFonts w:ascii="Aptos" w:hAnsi="Aptos"/>
                <w:b w:val="0"/>
                <w:sz w:val="16"/>
              </w:rPr>
              <w:t>An administrator in a Production member account receives an explicit SCP deny for EC2 termination and CloudTrail logging shutdown.</w:t>
            </w:r>
          </w:p>
        </w:tc>
      </w:tr>
      <w:tr>
        <w:tc>
          <w:tcPr>
            <w:tcW w:type="dxa" w:w="5040"/>
            <w:vAlign w:val="center"/>
          </w:tcPr>
          <w:p>
            <w:r/>
            <w:r>
              <w:rPr>
                <w:rFonts w:ascii="Aptos" w:hAnsi="Aptos"/>
                <w:b w:val="0"/>
                <w:sz w:val="16"/>
              </w:rPr>
              <w:t>Eliminate static CI/CD keys</w:t>
            </w:r>
          </w:p>
        </w:tc>
        <w:tc>
          <w:tcPr>
            <w:tcW w:type="dxa" w:w="5040"/>
            <w:vAlign w:val="center"/>
          </w:tcPr>
          <w:p>
            <w:r/>
            <w:r>
              <w:rPr>
                <w:rFonts w:ascii="Aptos" w:hAnsi="Aptos"/>
                <w:b w:val="0"/>
                <w:sz w:val="16"/>
              </w:rPr>
              <w:t>GitHub Actions assumes a branch- and repository-restricted role through OIDC and STS temporary credentials.</w:t>
            </w:r>
          </w:p>
        </w:tc>
      </w:tr>
      <w:tr>
        <w:tc>
          <w:tcPr>
            <w:tcW w:type="dxa" w:w="5040"/>
            <w:vAlign w:val="center"/>
          </w:tcPr>
          <w:p>
            <w:r/>
            <w:r>
              <w:rPr>
                <w:rFonts w:ascii="Aptos" w:hAnsi="Aptos"/>
                <w:b w:val="0"/>
                <w:sz w:val="16"/>
              </w:rPr>
              <w:t>Automate high-severity response</w:t>
            </w:r>
          </w:p>
        </w:tc>
        <w:tc>
          <w:tcPr>
            <w:tcW w:type="dxa" w:w="5040"/>
            <w:vAlign w:val="center"/>
          </w:tcPr>
          <w:p>
            <w:r/>
            <w:r>
              <w:rPr>
                <w:rFonts w:ascii="Aptos" w:hAnsi="Aptos"/>
                <w:b w:val="0"/>
                <w:sz w:val="16"/>
              </w:rPr>
              <w:t>A GuardDuty finding starts Step Functions, invokes Lambda, records evidence in S3, notifies SNS, and isolates the affected instance.</w:t>
            </w:r>
          </w:p>
        </w:tc>
      </w:tr>
      <w:tr>
        <w:tc>
          <w:tcPr>
            <w:tcW w:type="dxa" w:w="5040"/>
            <w:vAlign w:val="center"/>
          </w:tcPr>
          <w:p>
            <w:r/>
            <w:r>
              <w:rPr>
                <w:rFonts w:ascii="Aptos" w:hAnsi="Aptos"/>
                <w:b w:val="0"/>
                <w:sz w:val="16"/>
              </w:rPr>
              <w:t>Continuously correct drift</w:t>
            </w:r>
          </w:p>
        </w:tc>
        <w:tc>
          <w:tcPr>
            <w:tcW w:type="dxa" w:w="5040"/>
            <w:vAlign w:val="center"/>
          </w:tcPr>
          <w:p>
            <w:r/>
            <w:r>
              <w:rPr>
                <w:rFonts w:ascii="Aptos" w:hAnsi="Aptos"/>
                <w:b w:val="0"/>
                <w:sz w:val="16"/>
              </w:rPr>
              <w:t>AWS Config detects an unencrypted S3 bucket and invokes deterministic remediation.</w:t>
            </w:r>
          </w:p>
        </w:tc>
      </w:tr>
      <w:tr>
        <w:tc>
          <w:tcPr>
            <w:tcW w:type="dxa" w:w="5040"/>
            <w:vAlign w:val="center"/>
          </w:tcPr>
          <w:p>
            <w:r/>
            <w:r>
              <w:rPr>
                <w:rFonts w:ascii="Aptos" w:hAnsi="Aptos"/>
                <w:b w:val="0"/>
                <w:sz w:val="16"/>
              </w:rPr>
              <w:t>Protect internet traffic</w:t>
            </w:r>
          </w:p>
        </w:tc>
        <w:tc>
          <w:tcPr>
            <w:tcW w:type="dxa" w:w="5040"/>
            <w:vAlign w:val="center"/>
          </w:tcPr>
          <w:p>
            <w:r/>
            <w:r>
              <w:rPr>
                <w:rFonts w:ascii="Aptos" w:hAnsi="Aptos"/>
                <w:b w:val="0"/>
                <w:sz w:val="16"/>
              </w:rPr>
              <w:t>ALB HTTPS traffic is inspected by AWS WAF managed rules and a rate-based rule.</w:t>
            </w:r>
          </w:p>
        </w:tc>
      </w:tr>
      <w:tr>
        <w:tc>
          <w:tcPr>
            <w:tcW w:type="dxa" w:w="5040"/>
            <w:vAlign w:val="center"/>
          </w:tcPr>
          <w:p>
            <w:r/>
            <w:r>
              <w:rPr>
                <w:rFonts w:ascii="Aptos" w:hAnsi="Aptos"/>
                <w:b w:val="0"/>
                <w:sz w:val="16"/>
              </w:rPr>
              <w:t>Encrypt data end to end</w:t>
            </w:r>
          </w:p>
        </w:tc>
        <w:tc>
          <w:tcPr>
            <w:tcW w:type="dxa" w:w="5040"/>
            <w:vAlign w:val="center"/>
          </w:tcPr>
          <w:p>
            <w:r/>
            <w:r>
              <w:rPr>
                <w:rFonts w:ascii="Aptos" w:hAnsi="Aptos"/>
                <w:b w:val="0"/>
                <w:sz w:val="16"/>
              </w:rPr>
              <w:t>Customer-managed KMS encryption is verified for S3, logs, and secrets; ACM provides TLS on the ALB.</w:t>
            </w:r>
          </w:p>
        </w:tc>
      </w:tr>
    </w:tbl>
    <w:p>
      <w:r>
        <w:br w:type="page"/>
      </w:r>
    </w:p>
    <w:p>
      <w:pPr>
        <w:pStyle w:val="Heading1"/>
      </w:pPr>
      <w:r>
        <w:t>1. Architecture and account model</w:t>
      </w:r>
    </w:p>
    <w:p>
      <w:r>
        <w:t>The platform separates governance, security operations, production workloads, and development activity into accounts and organizational units. The AWS Organizations management account is retained for governance activities instead of hosting general workloads. This reduces the management account attack surface and separates policy authority from application administration.</w:t>
      </w:r>
    </w:p>
    <w:p>
      <w:pPr>
        <w:pStyle w:val="CodeBlock"/>
      </w:pPr>
      <w:r>
        <w:t>AWS Organizations Root</w:t>
      </w:r>
    </w:p>
    <w:p>
      <w:pPr>
        <w:pStyle w:val="CodeBlock"/>
      </w:pPr>
      <w:r>
        <w:t>|-- Security OU</w:t>
      </w:r>
    </w:p>
    <w:p>
      <w:pPr>
        <w:pStyle w:val="CodeBlock"/>
      </w:pPr>
      <w:r>
        <w:t>|   |-- Logging account (123131744443): immutable audit logs</w:t>
      </w:r>
    </w:p>
    <w:p>
      <w:pPr>
        <w:pStyle w:val="CodeBlock"/>
      </w:pPr>
      <w:r>
        <w:t>|   `-- Security tooling account: delegated administration and response</w:t>
      </w:r>
    </w:p>
    <w:p>
      <w:pPr>
        <w:pStyle w:val="CodeBlock"/>
      </w:pPr>
      <w:r>
        <w:t>|-- Production OU</w:t>
      </w:r>
    </w:p>
    <w:p>
      <w:pPr>
        <w:pStyle w:val="CodeBlock"/>
      </w:pPr>
      <w:r>
        <w:t>|   `-- Production account (268670073381): ALB, WAF, application, encrypted data</w:t>
      </w:r>
    </w:p>
    <w:p>
      <w:pPr>
        <w:pStyle w:val="CodeBlock"/>
      </w:pPr>
      <w:r>
        <w:t>`-- Development OU</w:t>
      </w:r>
    </w:p>
    <w:p>
      <w:pPr>
        <w:pStyle w:val="CodeBlock"/>
      </w:pPr>
      <w:r>
        <w:t xml:space="preserve">    `-- Development account (183197503516): CI/CD testing and non-production workloads</w:t>
      </w:r>
    </w:p>
    <w:p>
      <w:r>
        <w:t>Placement note: The provided requirement states “Root -&gt; Security OU -&gt; Production OU -&gt; Development OU.” AWS OUs should normally be siblings under the root, not nested by environment. Sibling OUs preserve clear inheritance and avoid accidentally applying Security OU controls to Production and Development. If the examiner literally requires nesting, document that as a lab constraint and explain the operational drawback.</w:t>
      </w:r>
    </w:p>
    <w:p>
      <w:pPr>
        <w:pStyle w:val="Heading2"/>
      </w:pPr>
      <w:r>
        <w:t>Control ownership</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6E75"/>
          </w:tcPr>
          <w:p>
            <w:r/>
            <w:r>
              <w:rPr>
                <w:rFonts w:ascii="Aptos" w:hAnsi="Aptos"/>
                <w:b/>
                <w:color w:val="FFFFFF"/>
                <w:sz w:val="16"/>
              </w:rPr>
              <w:t>Layer</w:t>
            </w:r>
          </w:p>
        </w:tc>
        <w:tc>
          <w:tcPr>
            <w:tcW w:type="dxa" w:w="3360"/>
            <w:vAlign w:val="center"/>
            <w:shd w:fill="0B6E75"/>
          </w:tcPr>
          <w:p>
            <w:r/>
            <w:r>
              <w:rPr>
                <w:rFonts w:ascii="Aptos" w:hAnsi="Aptos"/>
                <w:b/>
                <w:color w:val="FFFFFF"/>
                <w:sz w:val="16"/>
              </w:rPr>
              <w:t>Primary account</w:t>
            </w:r>
          </w:p>
        </w:tc>
        <w:tc>
          <w:tcPr>
            <w:tcW w:type="dxa" w:w="3360"/>
            <w:vAlign w:val="center"/>
            <w:shd w:fill="0B6E75"/>
          </w:tcPr>
          <w:p>
            <w:r/>
            <w:r>
              <w:rPr>
                <w:rFonts w:ascii="Aptos" w:hAnsi="Aptos"/>
                <w:b/>
                <w:color w:val="FFFFFF"/>
                <w:sz w:val="16"/>
              </w:rPr>
              <w:t>Rationale</w:t>
            </w:r>
          </w:p>
        </w:tc>
      </w:tr>
      <w:tr>
        <w:tc>
          <w:tcPr>
            <w:tcW w:type="dxa" w:w="3360"/>
            <w:vAlign w:val="center"/>
          </w:tcPr>
          <w:p>
            <w:r/>
            <w:r>
              <w:rPr>
                <w:rFonts w:ascii="Aptos" w:hAnsi="Aptos"/>
                <w:b w:val="0"/>
                <w:sz w:val="16"/>
              </w:rPr>
              <w:t>Organizations, SCPs</w:t>
            </w:r>
          </w:p>
        </w:tc>
        <w:tc>
          <w:tcPr>
            <w:tcW w:type="dxa" w:w="3360"/>
            <w:vAlign w:val="center"/>
          </w:tcPr>
          <w:p>
            <w:r/>
            <w:r>
              <w:rPr>
                <w:rFonts w:ascii="Aptos" w:hAnsi="Aptos"/>
                <w:b w:val="0"/>
                <w:sz w:val="16"/>
              </w:rPr>
              <w:t>Management</w:t>
            </w:r>
          </w:p>
        </w:tc>
        <w:tc>
          <w:tcPr>
            <w:tcW w:type="dxa" w:w="3360"/>
            <w:vAlign w:val="center"/>
          </w:tcPr>
          <w:p>
            <w:r/>
            <w:r>
              <w:rPr>
                <w:rFonts w:ascii="Aptos" w:hAnsi="Aptos"/>
                <w:b w:val="0"/>
                <w:sz w:val="16"/>
              </w:rPr>
              <w:t>Only the management account or delegated administrator governs the organization.</w:t>
            </w:r>
          </w:p>
        </w:tc>
      </w:tr>
      <w:tr>
        <w:tc>
          <w:tcPr>
            <w:tcW w:type="dxa" w:w="3360"/>
            <w:vAlign w:val="center"/>
          </w:tcPr>
          <w:p>
            <w:r/>
            <w:r>
              <w:rPr>
                <w:rFonts w:ascii="Aptos" w:hAnsi="Aptos"/>
                <w:b w:val="0"/>
                <w:sz w:val="16"/>
              </w:rPr>
              <w:t>CloudTrail archive</w:t>
            </w:r>
          </w:p>
        </w:tc>
        <w:tc>
          <w:tcPr>
            <w:tcW w:type="dxa" w:w="3360"/>
            <w:vAlign w:val="center"/>
          </w:tcPr>
          <w:p>
            <w:r/>
            <w:r>
              <w:rPr>
                <w:rFonts w:ascii="Aptos" w:hAnsi="Aptos"/>
                <w:b w:val="0"/>
                <w:sz w:val="16"/>
              </w:rPr>
              <w:t>Logging</w:t>
            </w:r>
          </w:p>
        </w:tc>
        <w:tc>
          <w:tcPr>
            <w:tcW w:type="dxa" w:w="3360"/>
            <w:vAlign w:val="center"/>
          </w:tcPr>
          <w:p>
            <w:r/>
            <w:r>
              <w:rPr>
                <w:rFonts w:ascii="Aptos" w:hAnsi="Aptos"/>
                <w:b w:val="0"/>
                <w:sz w:val="16"/>
              </w:rPr>
              <w:t>Separates evidence ownership from workload operators and supports tamper resistance.</w:t>
            </w:r>
          </w:p>
        </w:tc>
      </w:tr>
      <w:tr>
        <w:tc>
          <w:tcPr>
            <w:tcW w:type="dxa" w:w="3360"/>
            <w:vAlign w:val="center"/>
          </w:tcPr>
          <w:p>
            <w:r/>
            <w:r>
              <w:rPr>
                <w:rFonts w:ascii="Aptos" w:hAnsi="Aptos"/>
                <w:b w:val="0"/>
                <w:sz w:val="16"/>
              </w:rPr>
              <w:t>GuardDuty, Security Hub, Config aggregation</w:t>
            </w:r>
          </w:p>
        </w:tc>
        <w:tc>
          <w:tcPr>
            <w:tcW w:type="dxa" w:w="3360"/>
            <w:vAlign w:val="center"/>
          </w:tcPr>
          <w:p>
            <w:r/>
            <w:r>
              <w:rPr>
                <w:rFonts w:ascii="Aptos" w:hAnsi="Aptos"/>
                <w:b w:val="0"/>
                <w:sz w:val="16"/>
              </w:rPr>
              <w:t>Security</w:t>
            </w:r>
          </w:p>
        </w:tc>
        <w:tc>
          <w:tcPr>
            <w:tcW w:type="dxa" w:w="3360"/>
            <w:vAlign w:val="center"/>
          </w:tcPr>
          <w:p>
            <w:r/>
            <w:r>
              <w:rPr>
                <w:rFonts w:ascii="Aptos" w:hAnsi="Aptos"/>
                <w:b w:val="0"/>
                <w:sz w:val="16"/>
              </w:rPr>
              <w:t>Central triage, delegated administration, and cross-account visibility.</w:t>
            </w:r>
          </w:p>
        </w:tc>
      </w:tr>
      <w:tr>
        <w:tc>
          <w:tcPr>
            <w:tcW w:type="dxa" w:w="3360"/>
            <w:vAlign w:val="center"/>
          </w:tcPr>
          <w:p>
            <w:r/>
            <w:r>
              <w:rPr>
                <w:rFonts w:ascii="Aptos" w:hAnsi="Aptos"/>
                <w:b w:val="0"/>
                <w:sz w:val="16"/>
              </w:rPr>
              <w:t>ALB, WAF, application, application KMS key</w:t>
            </w:r>
          </w:p>
        </w:tc>
        <w:tc>
          <w:tcPr>
            <w:tcW w:type="dxa" w:w="3360"/>
            <w:vAlign w:val="center"/>
          </w:tcPr>
          <w:p>
            <w:r/>
            <w:r>
              <w:rPr>
                <w:rFonts w:ascii="Aptos" w:hAnsi="Aptos"/>
                <w:b w:val="0"/>
                <w:sz w:val="16"/>
              </w:rPr>
              <w:t>Production</w:t>
            </w:r>
          </w:p>
        </w:tc>
        <w:tc>
          <w:tcPr>
            <w:tcW w:type="dxa" w:w="3360"/>
            <w:vAlign w:val="center"/>
          </w:tcPr>
          <w:p>
            <w:r/>
            <w:r>
              <w:rPr>
                <w:rFonts w:ascii="Aptos" w:hAnsi="Aptos"/>
                <w:b w:val="0"/>
                <w:sz w:val="16"/>
              </w:rPr>
              <w:t>Protection and encryption remain close to regional workloads.</w:t>
            </w:r>
          </w:p>
        </w:tc>
      </w:tr>
      <w:tr>
        <w:tc>
          <w:tcPr>
            <w:tcW w:type="dxa" w:w="3360"/>
            <w:vAlign w:val="center"/>
          </w:tcPr>
          <w:p>
            <w:r/>
            <w:r>
              <w:rPr>
                <w:rFonts w:ascii="Aptos" w:hAnsi="Aptos"/>
                <w:b w:val="0"/>
                <w:sz w:val="16"/>
              </w:rPr>
              <w:t>GitHub deployment role</w:t>
            </w:r>
          </w:p>
        </w:tc>
        <w:tc>
          <w:tcPr>
            <w:tcW w:type="dxa" w:w="3360"/>
            <w:vAlign w:val="center"/>
          </w:tcPr>
          <w:p>
            <w:r/>
            <w:r>
              <w:rPr>
                <w:rFonts w:ascii="Aptos" w:hAnsi="Aptos"/>
                <w:b w:val="0"/>
                <w:sz w:val="16"/>
              </w:rPr>
              <w:t>Target deployment account</w:t>
            </w:r>
          </w:p>
        </w:tc>
        <w:tc>
          <w:tcPr>
            <w:tcW w:type="dxa" w:w="3360"/>
            <w:vAlign w:val="center"/>
          </w:tcPr>
          <w:p>
            <w:r/>
            <w:r>
              <w:rPr>
                <w:rFonts w:ascii="Aptos" w:hAnsi="Aptos"/>
                <w:b w:val="0"/>
                <w:sz w:val="16"/>
              </w:rPr>
              <w:t>OIDC sessions receive only permissions required in the account being deployed.</w:t>
            </w:r>
          </w:p>
        </w:tc>
      </w:tr>
    </w:tbl>
    <w:p>
      <w:pPr>
        <w:pStyle w:val="Heading2"/>
      </w:pPr>
      <w:r>
        <w:t>Trust boundaries</w:t>
      </w:r>
    </w:p>
    <w:p>
      <w:pPr>
        <w:pStyle w:val="ListBullet"/>
      </w:pPr>
      <w:r>
        <w:t>Internet to ALB: TLS termination, WAF inspection, rate limiting, and security-group enforcement.</w:t>
      </w:r>
    </w:p>
    <w:p>
      <w:pPr>
        <w:pStyle w:val="ListBullet"/>
      </w:pPr>
      <w:r>
        <w:t>GitHub to AWS: federated OIDC identity, claim validation, STS session, and least-privilege role.</w:t>
      </w:r>
    </w:p>
    <w:p>
      <w:pPr>
        <w:pStyle w:val="ListBullet"/>
      </w:pPr>
      <w:r>
        <w:t>Member account to security account: service integrations and cross-account aggregation, never shared IAM users.</w:t>
      </w:r>
    </w:p>
    <w:p>
      <w:pPr>
        <w:pStyle w:val="ListBullet"/>
      </w:pPr>
      <w:r>
        <w:t>Detection to response: EventBridge accepts service events, Step Functions controls orchestration, and Lambda performs bounded actions.</w:t>
      </w:r>
    </w:p>
    <w:p>
      <w:pPr>
        <w:pStyle w:val="ListBullet"/>
      </w:pPr>
      <w:r>
        <w:t>Workload to data: IAM authorization plus KMS key policy and encryption context protect cryptographic operations.</w:t>
      </w:r>
    </w:p>
    <w:p>
      <w:pPr>
        <w:pStyle w:val="Heading1"/>
      </w:pPr>
      <w:r>
        <w:t>2. Governance design</w:t>
      </w:r>
    </w:p>
    <w:p>
      <w:r>
        <w:t>The Production OU receives an explicit-deny SCP for ec2:TerminateInstances and cloudtrail:StopLogging. SCPs are permission guardrails, not grants. The effective permission is the intersection of identity policies, resource policies, permissions boundaries, session policies, and SCPs. An explicit deny dominates an allow, which is why a local AdministratorAccess policy cannot bypass the production guardrail.</w:t>
      </w:r>
    </w:p>
    <w:p>
      <w:pPr>
        <w:pStyle w:val="CodeBlock"/>
      </w:pPr>
      <w:r>
        <w:t>{</w:t>
      </w:r>
    </w:p>
    <w:p>
      <w:pPr>
        <w:pStyle w:val="CodeBlock"/>
      </w:pPr>
      <w:r>
        <w:t xml:space="preserve">  "Version": "2012-10-17",</w:t>
      </w:r>
    </w:p>
    <w:p>
      <w:pPr>
        <w:pStyle w:val="CodeBlock"/>
      </w:pPr>
      <w:r>
        <w:t xml:space="preserve">  "Statement": [</w:t>
      </w:r>
    </w:p>
    <w:p>
      <w:pPr>
        <w:pStyle w:val="CodeBlock"/>
      </w:pPr>
      <w:r>
        <w:t xml:space="preserve">    {"Sid":"DenyEC2Termination","Effect":"Deny","Action":"ec2:TerminateInstances","Resource":"*"},</w:t>
      </w:r>
    </w:p>
    <w:p>
      <w:pPr>
        <w:pStyle w:val="CodeBlock"/>
      </w:pPr>
      <w:r>
        <w:t xml:space="preserve">    {"Sid":"DenyCloudTrailStopLogging","Effect":"Deny","Action":"cloudtrail:StopLogging","Resource":"*"}</w:t>
      </w:r>
    </w:p>
    <w:p>
      <w:pPr>
        <w:pStyle w:val="CodeBlock"/>
      </w:pPr>
      <w:r>
        <w:t xml:space="preserve">  ]</w:t>
      </w:r>
    </w:p>
    <w:p>
      <w:pPr>
        <w:pStyle w:val="CodeBlock"/>
      </w:pPr>
      <w:r>
        <w:t>}</w:t>
      </w:r>
    </w:p>
    <w:p>
      <w:r>
        <w:t>Trade-off: This broad deny is appropriate for demonstration but creates an operational recovery challenge. Enterprise production should use a controlled break-glass exception, tightly constrained by principal ARN, approval process, MFA, monitoring, and time-limited access. Exemptions weaken the guardrail and therefore require alerting and independent review.</w:t>
      </w:r>
    </w:p>
    <w:p>
      <w:r>
        <w:t>Organization CloudTrail writes management activity from all accounts into a centralized bucket. The bucket policy must permit CloudTrail ACL checks, management-account writes, and the organization path AWSLogs/o-u0zssg8kil/*. A KMS key policy must permit CloudTrail to generate data keys and describe the key. Versioning, public-access blocking, lifecycle controls, and optional S3 Object Lock strengthen evidence retention.</w:t>
      </w:r>
    </w:p>
    <w:p>
      <w:r>
        <w:br w:type="page"/>
      </w:r>
    </w:p>
    <w:p>
      <w:pPr>
        <w:pStyle w:val="Heading1"/>
      </w:pPr>
      <w:r>
        <w:t>3. Zero-trust identity and CI/CD</w:t>
      </w:r>
    </w:p>
    <w:p>
      <w:r>
        <w:t>Human and workload identities receive short-lived permissions. The DevOpsEngineer role has an S3-capable identity policy but a permissions boundary that explicitly denies destructive actions. The boundary limits the maximum permissions that identity policies can grant; it does not grant permissions itself.</w:t>
      </w:r>
    </w:p>
    <w:p>
      <w:pPr>
        <w:pStyle w:val="Heading2"/>
      </w:pPr>
      <w:r>
        <w:t>GitHub OIDC flow</w:t>
      </w:r>
    </w:p>
    <w:p>
      <w:pPr>
        <w:pStyle w:val="CodeBlock"/>
      </w:pPr>
      <w:r>
        <w:t>Developer push to georgeeupa/fintech-security-platform:main</w:t>
      </w:r>
    </w:p>
    <w:p>
      <w:pPr>
        <w:pStyle w:val="CodeBlock"/>
      </w:pPr>
      <w:r>
        <w:t xml:space="preserve">  -&gt; GitHub workflow requests signed OIDC token</w:t>
      </w:r>
    </w:p>
    <w:p>
      <w:pPr>
        <w:pStyle w:val="CodeBlock"/>
      </w:pPr>
      <w:r>
        <w:t xml:space="preserve">  -&gt; AWS IAM validates issuer, audience, and subject claims</w:t>
      </w:r>
    </w:p>
    <w:p>
      <w:pPr>
        <w:pStyle w:val="CodeBlock"/>
      </w:pPr>
      <w:r>
        <w:t xml:space="preserve">  -&gt; STS AssumeRoleWithWebIdentity issues temporary credentials</w:t>
      </w:r>
    </w:p>
    <w:p>
      <w:pPr>
        <w:pStyle w:val="CodeBlock"/>
      </w:pPr>
      <w:r>
        <w:t xml:space="preserve">  -&gt; Deployment role performs narrowly scoped deployment</w:t>
      </w:r>
    </w:p>
    <w:p>
      <w:pPr>
        <w:pStyle w:val="CodeBlock"/>
      </w:pPr>
      <w:r>
        <w:t xml:space="preserve">  -&gt; CloudTrail records the role session</w:t>
      </w:r>
    </w:p>
    <w:p>
      <w:pPr>
        <w:pStyle w:val="Heading2"/>
      </w:pPr>
      <w:r>
        <w:t>Required trust restrictions</w:t>
      </w:r>
    </w:p>
    <w:p>
      <w:pPr>
        <w:pStyle w:val="CodeBlock"/>
      </w:pPr>
      <w:r>
        <w:t>"StringEquals": {</w:t>
      </w:r>
    </w:p>
    <w:p>
      <w:pPr>
        <w:pStyle w:val="CodeBlock"/>
      </w:pPr>
      <w:r>
        <w:t xml:space="preserve">  "token.actions.githubusercontent.com:aud": "sts.amazonaws.com",</w:t>
      </w:r>
    </w:p>
    <w:p>
      <w:pPr>
        <w:pStyle w:val="CodeBlock"/>
      </w:pPr>
      <w:r>
        <w:t xml:space="preserve">  "token.actions.githubusercontent.com:sub":</w:t>
      </w:r>
    </w:p>
    <w:p>
      <w:pPr>
        <w:pStyle w:val="CodeBlock"/>
      </w:pPr>
      <w:r>
        <w:t xml:space="preserve">    "repo:georgeeupa/fintech-security-platform:ref:refs/heads/main"</w:t>
      </w:r>
    </w:p>
    <w:p>
      <w:pPr>
        <w:pStyle w:val="CodeBlock"/>
      </w:pPr>
      <w:r>
        <w:t>}</w:t>
      </w:r>
    </w:p>
    <w:p>
      <w:r>
        <w:t>Decision and trade-off: OIDC removes stored AWS access keys and gives every run short-lived, auditable credentials. The trade-off is dependence on correct token claims and repository governance. Branch protection, required reviews, pinned third-party actions, minimal workflow permissions, and environment approval rules are therefore part of the security boundary.</w:t>
      </w:r>
    </w:p>
    <w:p>
      <w:r>
        <w:t>Negative test: run the workflow from a different repository or branch. The expected failure is AccessDenied for AssumeRoleWithWebIdentity. This test proves that the role is not merely federated, but context restricted.</w:t>
      </w:r>
    </w:p>
    <w:p>
      <w:pPr>
        <w:pStyle w:val="Heading1"/>
      </w:pPr>
      <w:r>
        <w:t>4. Automated incident response</w:t>
      </w:r>
    </w:p>
    <w:p>
      <w:r>
        <w:t>The required pipeline is GuardDuty -&gt; EventBridge -&gt; Step Functions -&gt; Lambda -&gt; SNS + S3, with an EC2 isolation action. EventBridge must target the state machine, not Lambda directly. Otherwise the orchestrator is bypassed and the function can be invoked twice if both targets remain attached.</w:t>
      </w:r>
    </w:p>
    <w:p>
      <w:pPr>
        <w:pStyle w:val="CodeBlock"/>
      </w:pPr>
      <w:r>
        <w:t>High-severity GuardDuty finding (severity &gt;= 7)</w:t>
      </w:r>
    </w:p>
    <w:p>
      <w:pPr>
        <w:pStyle w:val="CodeBlock"/>
      </w:pPr>
      <w:r>
        <w:t xml:space="preserve">  -&gt; EventBridge rule filters the event</w:t>
      </w:r>
    </w:p>
    <w:p>
      <w:pPr>
        <w:pStyle w:val="CodeBlock"/>
      </w:pPr>
      <w:r>
        <w:t xml:space="preserve">  -&gt; EventBridge role calls states:StartExecution</w:t>
      </w:r>
    </w:p>
    <w:p>
      <w:pPr>
        <w:pStyle w:val="CodeBlock"/>
      </w:pPr>
      <w:r>
        <w:t xml:space="preserve">  -&gt; Step Functions validates and invokes Lambda</w:t>
      </w:r>
    </w:p>
    <w:p>
      <w:pPr>
        <w:pStyle w:val="CodeBlock"/>
      </w:pPr>
      <w:r>
        <w:t xml:space="preserve">  -&gt; Lambda stores immutable evidence in S3</w:t>
      </w:r>
    </w:p>
    <w:p>
      <w:pPr>
        <w:pStyle w:val="CodeBlock"/>
      </w:pPr>
      <w:r>
        <w:t xml:space="preserve">  -&gt; Lambda publishes a concise SNS notification</w:t>
      </w:r>
    </w:p>
    <w:p>
      <w:pPr>
        <w:pStyle w:val="CodeBlock"/>
      </w:pPr>
      <w:r>
        <w:t xml:space="preserve">  -&gt; Lambda tags the instance and replaces/adjusts its security group</w:t>
      </w:r>
    </w:p>
    <w:p>
      <w:pPr>
        <w:pStyle w:val="CodeBlock"/>
      </w:pPr>
      <w:r>
        <w:t xml:space="preserve">  -&gt; CloudWatch Logs and Step Functions execution history preserve run evidence</w:t>
      </w:r>
    </w:p>
    <w:p>
      <w:pPr>
        <w:pStyle w:val="Heading2"/>
      </w:pPr>
      <w:r>
        <w:t>Orchestration states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6E75"/>
          </w:tcPr>
          <w:p>
            <w:r/>
            <w:r>
              <w:rPr>
                <w:rFonts w:ascii="Aptos" w:hAnsi="Aptos"/>
                <w:b/>
                <w:color w:val="FFFFFF"/>
                <w:sz w:val="16"/>
              </w:rPr>
              <w:t>State</w:t>
            </w:r>
          </w:p>
        </w:tc>
        <w:tc>
          <w:tcPr>
            <w:tcW w:type="dxa" w:w="3360"/>
            <w:vAlign w:val="center"/>
            <w:shd w:fill="0B6E75"/>
          </w:tcPr>
          <w:p>
            <w:r/>
            <w:r>
              <w:rPr>
                <w:rFonts w:ascii="Aptos" w:hAnsi="Aptos"/>
                <w:b/>
                <w:color w:val="FFFFFF"/>
                <w:sz w:val="16"/>
              </w:rPr>
              <w:t>Responsibility</w:t>
            </w:r>
          </w:p>
        </w:tc>
        <w:tc>
          <w:tcPr>
            <w:tcW w:type="dxa" w:w="3360"/>
            <w:vAlign w:val="center"/>
            <w:shd w:fill="0B6E75"/>
          </w:tcPr>
          <w:p>
            <w:r/>
            <w:r>
              <w:rPr>
                <w:rFonts w:ascii="Aptos" w:hAnsi="Aptos"/>
                <w:b/>
                <w:color w:val="FFFFFF"/>
                <w:sz w:val="16"/>
              </w:rPr>
              <w:t>Failure behavior</w:t>
            </w:r>
          </w:p>
        </w:tc>
      </w:tr>
      <w:tr>
        <w:tc>
          <w:tcPr>
            <w:tcW w:type="dxa" w:w="3360"/>
            <w:vAlign w:val="center"/>
          </w:tcPr>
          <w:p>
            <w:r/>
            <w:r>
              <w:rPr>
                <w:rFonts w:ascii="Aptos" w:hAnsi="Aptos"/>
                <w:b w:val="0"/>
                <w:sz w:val="16"/>
              </w:rPr>
              <w:t>ValidateFinding</w:t>
            </w:r>
          </w:p>
        </w:tc>
        <w:tc>
          <w:tcPr>
            <w:tcW w:type="dxa" w:w="3360"/>
            <w:vAlign w:val="center"/>
          </w:tcPr>
          <w:p>
            <w:r/>
            <w:r>
              <w:rPr>
                <w:rFonts w:ascii="Aptos" w:hAnsi="Aptos"/>
                <w:b w:val="0"/>
                <w:sz w:val="16"/>
              </w:rPr>
              <w:t>Confirm source, severity, finding ID, account, region, and resource type.</w:t>
            </w:r>
          </w:p>
        </w:tc>
        <w:tc>
          <w:tcPr>
            <w:tcW w:type="dxa" w:w="3360"/>
            <w:vAlign w:val="center"/>
          </w:tcPr>
          <w:p>
            <w:r/>
            <w:r>
              <w:rPr>
                <w:rFonts w:ascii="Aptos" w:hAnsi="Aptos"/>
                <w:b w:val="0"/>
                <w:sz w:val="16"/>
              </w:rPr>
              <w:t>Invalid or unsupported input moves to a controlled failure/notification path.</w:t>
            </w:r>
          </w:p>
        </w:tc>
      </w:tr>
      <w:tr>
        <w:tc>
          <w:tcPr>
            <w:tcW w:type="dxa" w:w="3360"/>
            <w:vAlign w:val="center"/>
          </w:tcPr>
          <w:p>
            <w:r/>
            <w:r>
              <w:rPr>
                <w:rFonts w:ascii="Aptos" w:hAnsi="Aptos"/>
                <w:b w:val="0"/>
                <w:sz w:val="16"/>
              </w:rPr>
              <w:t>RecordEvidence</w:t>
            </w:r>
          </w:p>
        </w:tc>
        <w:tc>
          <w:tcPr>
            <w:tcW w:type="dxa" w:w="3360"/>
            <w:vAlign w:val="center"/>
          </w:tcPr>
          <w:p>
            <w:r/>
            <w:r>
              <w:rPr>
                <w:rFonts w:ascii="Aptos" w:hAnsi="Aptos"/>
                <w:b w:val="0"/>
                <w:sz w:val="16"/>
              </w:rPr>
              <w:t>Write the original event and response metadata under a unique S3 key.</w:t>
            </w:r>
          </w:p>
        </w:tc>
        <w:tc>
          <w:tcPr>
            <w:tcW w:type="dxa" w:w="3360"/>
            <w:vAlign w:val="center"/>
          </w:tcPr>
          <w:p>
            <w:r/>
            <w:r>
              <w:rPr>
                <w:rFonts w:ascii="Aptos" w:hAnsi="Aptos"/>
                <w:b w:val="0"/>
                <w:sz w:val="16"/>
              </w:rPr>
              <w:t>Retry transient service failures; do not overwrite prior evidence.</w:t>
            </w:r>
          </w:p>
        </w:tc>
      </w:tr>
      <w:tr>
        <w:tc>
          <w:tcPr>
            <w:tcW w:type="dxa" w:w="3360"/>
            <w:vAlign w:val="center"/>
          </w:tcPr>
          <w:p>
            <w:r/>
            <w:r>
              <w:rPr>
                <w:rFonts w:ascii="Aptos" w:hAnsi="Aptos"/>
                <w:b w:val="0"/>
                <w:sz w:val="16"/>
              </w:rPr>
              <w:t>IsolateInstance</w:t>
            </w:r>
          </w:p>
        </w:tc>
        <w:tc>
          <w:tcPr>
            <w:tcW w:type="dxa" w:w="3360"/>
            <w:vAlign w:val="center"/>
          </w:tcPr>
          <w:p>
            <w:r/>
            <w:r>
              <w:rPr>
                <w:rFonts w:ascii="Aptos" w:hAnsi="Aptos"/>
                <w:b w:val="0"/>
                <w:sz w:val="16"/>
              </w:rPr>
              <w:t>Apply quarantine security group or isolation tag after verifying the instance identifier.</w:t>
            </w:r>
          </w:p>
        </w:tc>
        <w:tc>
          <w:tcPr>
            <w:tcW w:type="dxa" w:w="3360"/>
            <w:vAlign w:val="center"/>
          </w:tcPr>
          <w:p>
            <w:r/>
            <w:r>
              <w:rPr>
                <w:rFonts w:ascii="Aptos" w:hAnsi="Aptos"/>
                <w:b w:val="0"/>
                <w:sz w:val="16"/>
              </w:rPr>
              <w:t>Idempotent check prevents repeated or incorrect network changes.</w:t>
            </w:r>
          </w:p>
        </w:tc>
      </w:tr>
      <w:tr>
        <w:tc>
          <w:tcPr>
            <w:tcW w:type="dxa" w:w="3360"/>
            <w:vAlign w:val="center"/>
          </w:tcPr>
          <w:p>
            <w:r/>
            <w:r>
              <w:rPr>
                <w:rFonts w:ascii="Aptos" w:hAnsi="Aptos"/>
                <w:b w:val="0"/>
                <w:sz w:val="16"/>
              </w:rPr>
              <w:t>NotifySecurity</w:t>
            </w:r>
          </w:p>
        </w:tc>
        <w:tc>
          <w:tcPr>
            <w:tcW w:type="dxa" w:w="3360"/>
            <w:vAlign w:val="center"/>
          </w:tcPr>
          <w:p>
            <w:r/>
            <w:r>
              <w:rPr>
                <w:rFonts w:ascii="Aptos" w:hAnsi="Aptos"/>
                <w:b w:val="0"/>
                <w:sz w:val="16"/>
              </w:rPr>
              <w:t>Publish finding summary, actions, execution ARN, and evidence location.</w:t>
            </w:r>
          </w:p>
        </w:tc>
        <w:tc>
          <w:tcPr>
            <w:tcW w:type="dxa" w:w="3360"/>
            <w:vAlign w:val="center"/>
          </w:tcPr>
          <w:p>
            <w:r/>
            <w:r>
              <w:rPr>
                <w:rFonts w:ascii="Aptos" w:hAnsi="Aptos"/>
                <w:b w:val="0"/>
                <w:sz w:val="16"/>
              </w:rPr>
              <w:t>Retry SNS failures and retain state-machine failure visibility.</w:t>
            </w:r>
          </w:p>
        </w:tc>
      </w:tr>
      <w:tr>
        <w:tc>
          <w:tcPr>
            <w:tcW w:type="dxa" w:w="3360"/>
            <w:vAlign w:val="center"/>
          </w:tcPr>
          <w:p>
            <w:r/>
            <w:r>
              <w:rPr>
                <w:rFonts w:ascii="Aptos" w:hAnsi="Aptos"/>
                <w:b w:val="0"/>
                <w:sz w:val="16"/>
              </w:rPr>
              <w:t>Complete</w:t>
            </w:r>
          </w:p>
        </w:tc>
        <w:tc>
          <w:tcPr>
            <w:tcW w:type="dxa" w:w="3360"/>
            <w:vAlign w:val="center"/>
          </w:tcPr>
          <w:p>
            <w:r/>
            <w:r>
              <w:rPr>
                <w:rFonts w:ascii="Aptos" w:hAnsi="Aptos"/>
                <w:b w:val="0"/>
                <w:sz w:val="16"/>
              </w:rPr>
              <w:t>Return normalized incident status.</w:t>
            </w:r>
          </w:p>
        </w:tc>
        <w:tc>
          <w:tcPr>
            <w:tcW w:type="dxa" w:w="3360"/>
            <w:vAlign w:val="center"/>
          </w:tcPr>
          <w:p>
            <w:r/>
            <w:r>
              <w:rPr>
                <w:rFonts w:ascii="Aptos" w:hAnsi="Aptos"/>
                <w:b w:val="0"/>
                <w:sz w:val="16"/>
              </w:rPr>
              <w:t>Execution status is auditable and queryable.</w:t>
            </w:r>
          </w:p>
        </w:tc>
      </w:tr>
    </w:tbl>
    <w:p>
      <w:r>
        <w:t>Safety trade-off: Automatic isolation reduces mean time to contain but can interrupt legitimate production traffic. The Lambda should limit actions to high-confidence findings, support an allowlist for critical assets, record previous security groups for rollback, and require human approval for destructive remediation. Tag-only isolation is safer for demos but does not itself stop traffic.</w:t>
      </w:r>
    </w:p>
    <w:p>
      <w:r>
        <w:br w:type="page"/>
      </w:r>
    </w:p>
    <w:p>
      <w:pPr>
        <w:pStyle w:val="Heading1"/>
      </w:pPr>
      <w:r>
        <w:t>5. Continuous compliance and aggregation</w:t>
      </w:r>
    </w:p>
    <w:p>
      <w:r>
        <w:t>AWS Config records configuration state in each account and region. The managed rule s3-bucket-server-side-encryption-enabled evaluates bucket encryption. Auto-remediation should invoke an SSM Automation document or a dedicated Lambda that enables approved default encryption with the correct KMS key.</w:t>
      </w:r>
    </w:p>
    <w:p>
      <w:pPr>
        <w:pStyle w:val="Heading2"/>
      </w:pPr>
      <w:r>
        <w:t>Remediation lifecycle</w:t>
      </w:r>
    </w:p>
    <w:p>
      <w:pPr>
        <w:pStyle w:val="CodeBlock"/>
      </w:pPr>
      <w:r>
        <w:t>Create unencrypted test bucket</w:t>
      </w:r>
    </w:p>
    <w:p>
      <w:pPr>
        <w:pStyle w:val="CodeBlock"/>
      </w:pPr>
      <w:r>
        <w:t xml:space="preserve">  -&gt; Config records configuration change</w:t>
      </w:r>
    </w:p>
    <w:p>
      <w:pPr>
        <w:pStyle w:val="CodeBlock"/>
      </w:pPr>
      <w:r>
        <w:t xml:space="preserve">  -&gt; Managed rule evaluates NON_COMPLIANT</w:t>
      </w:r>
    </w:p>
    <w:p>
      <w:pPr>
        <w:pStyle w:val="CodeBlock"/>
      </w:pPr>
      <w:r>
        <w:t xml:space="preserve">  -&gt; Remediation enables SSE-KMS</w:t>
      </w:r>
    </w:p>
    <w:p>
      <w:pPr>
        <w:pStyle w:val="CodeBlock"/>
      </w:pPr>
      <w:r>
        <w:t xml:space="preserve">  -&gt; Config reevaluates COMPLIANT</w:t>
      </w:r>
    </w:p>
    <w:p>
      <w:pPr>
        <w:pStyle w:val="CodeBlock"/>
      </w:pPr>
      <w:r>
        <w:t xml:space="preserve">  -&gt; Security Hub finding updates/archives according to integration behavior</w:t>
      </w:r>
    </w:p>
    <w:p>
      <w:pPr>
        <w:pStyle w:val="CodeBlock"/>
      </w:pPr>
      <w:r>
        <w:t xml:space="preserve">  -&gt; CLI output and screenshots capture before/after evidence</w:t>
      </w:r>
    </w:p>
    <w:p>
      <w:r>
        <w:t>Design caution: Since January 2023, Amazon S3 automatically applies server-side encryption with S3-managed keys to new objects. For a meaningful assessment, evaluate the bucket encryption configuration required by the rule and verify whether the project specifically requires SSE-KMS rather than only default S3 encryption. The remediation implementation should match the stated control objective.</w:t>
      </w:r>
    </w:p>
    <w:p>
      <w:r>
        <w:t>Security Hub is the normalized findings plane, while GuardDuty, Config, and Inspector remain specialized producers. High-severity Security Hub findings are sent through EventBridge to SNS. In a real multi-account design, designate the Security account as delegated administrator and enable services consistently across required regions.</w:t>
      </w:r>
    </w:p>
    <w:p>
      <w:r>
        <w:t>Trade-off: Central aggregation improves visibility and control but does not replace source-service investigation. Finding deduplication, account metadata, severity normalization, and ticket ownership are necessary to prevent alert fatigue.</w:t>
      </w:r>
    </w:p>
    <w:p>
      <w:pPr>
        <w:pStyle w:val="Heading1"/>
      </w:pPr>
      <w:r>
        <w:t>6. Application and edge protection</w:t>
      </w:r>
    </w:p>
    <w:p>
      <w:r>
        <w:t>The sample application runs on EC2 or ECS in private subnets. An internet-facing ALB spans at least two Availability Zones. The ALB security group accepts ports 80 and 443 from the internet; the application security group accepts the application port only from the ALB security group. HTTP redirects to HTTPS, and the HTTPS listener uses an ACM public certificate.</w:t>
      </w:r>
    </w:p>
    <w:p>
      <w:pPr>
        <w:pStyle w:val="Heading2"/>
      </w:pPr>
      <w:r>
        <w:t>WAF design</w:t>
      </w:r>
    </w:p>
    <w:p>
      <w:pPr>
        <w:pStyle w:val="ListBullet"/>
      </w:pPr>
      <w:r>
        <w:t>AWSManagedRulesCommonRuleSet provides managed coverage for common web exploits and malformed requests.</w:t>
      </w:r>
    </w:p>
    <w:p>
      <w:pPr>
        <w:pStyle w:val="ListBullet"/>
      </w:pPr>
      <w:r>
        <w:t>A regional rate-based rule aggregates by source IP and blocks clients exceeding 100 requests in the five-minute evaluation window required by the project.</w:t>
      </w:r>
    </w:p>
    <w:p>
      <w:pPr>
        <w:pStyle w:val="ListBullet"/>
      </w:pPr>
      <w:r>
        <w:t>WAF logging is delivered to a supported destination such as CloudWatch Logs, S3 through Kinesis Data Firehose, or Firehose directly, depending on the selected architecture.</w:t>
      </w:r>
    </w:p>
    <w:p>
      <w:pPr>
        <w:pStyle w:val="ListBullet"/>
      </w:pPr>
      <w:r>
        <w:t>Sampled requests and CloudWatch metrics provide examiner-friendly evidence, while complete logs support investigations.</w:t>
      </w:r>
    </w:p>
    <w:p>
      <w:pPr>
        <w:pStyle w:val="Heading2"/>
      </w:pPr>
      <w:r>
        <w:t>ALB versus CloudFront</w:t>
      </w:r>
    </w:p>
    <w:p>
      <w:r>
        <w:t>Attach WAF to the ALB when the application is regional, direct-to-origin, or when the project explicitly evaluates ALB protection. Attach WAF to CloudFront when users are geographically distributed and edge blocking, caching, and origin shielding are required. CloudFront reduces malicious traffic before it reaches the region but adds distribution configuration, cache behavior, certificate-region constraints, and cost. The capstone can use ALB for simpler reproducibility and describe CloudFront as the scale-out evolution.</w:t>
      </w:r>
    </w:p>
    <w:p>
      <w:pPr>
        <w:pStyle w:val="Heading2"/>
      </w:pPr>
      <w:r>
        <w:t>Test expectations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6E75"/>
          </w:tcPr>
          <w:p>
            <w:r/>
            <w:r>
              <w:rPr>
                <w:rFonts w:ascii="Aptos" w:hAnsi="Aptos"/>
                <w:b/>
                <w:color w:val="FFFFFF"/>
                <w:sz w:val="16"/>
              </w:rPr>
              <w:t>Test</w:t>
            </w:r>
          </w:p>
        </w:tc>
        <w:tc>
          <w:tcPr>
            <w:tcW w:type="dxa" w:w="3360"/>
            <w:vAlign w:val="center"/>
            <w:shd w:fill="0B6E75"/>
          </w:tcPr>
          <w:p>
            <w:r/>
            <w:r>
              <w:rPr>
                <w:rFonts w:ascii="Aptos" w:hAnsi="Aptos"/>
                <w:b/>
                <w:color w:val="FFFFFF"/>
                <w:sz w:val="16"/>
              </w:rPr>
              <w:t>Method</w:t>
            </w:r>
          </w:p>
        </w:tc>
        <w:tc>
          <w:tcPr>
            <w:tcW w:type="dxa" w:w="3360"/>
            <w:vAlign w:val="center"/>
            <w:shd w:fill="0B6E75"/>
          </w:tcPr>
          <w:p>
            <w:r/>
            <w:r>
              <w:rPr>
                <w:rFonts w:ascii="Aptos" w:hAnsi="Aptos"/>
                <w:b/>
                <w:color w:val="FFFFFF"/>
                <w:sz w:val="16"/>
              </w:rPr>
              <w:t>Expected evidence</w:t>
            </w:r>
          </w:p>
        </w:tc>
      </w:tr>
      <w:tr>
        <w:tc>
          <w:tcPr>
            <w:tcW w:type="dxa" w:w="3360"/>
            <w:vAlign w:val="center"/>
          </w:tcPr>
          <w:p>
            <w:r/>
            <w:r>
              <w:rPr>
                <w:rFonts w:ascii="Aptos" w:hAnsi="Aptos"/>
                <w:b w:val="0"/>
                <w:sz w:val="16"/>
              </w:rPr>
              <w:t>SQL injection</w:t>
            </w:r>
          </w:p>
        </w:tc>
        <w:tc>
          <w:tcPr>
            <w:tcW w:type="dxa" w:w="3360"/>
            <w:vAlign w:val="center"/>
          </w:tcPr>
          <w:p>
            <w:r/>
            <w:r>
              <w:rPr>
                <w:rFonts w:ascii="Aptos" w:hAnsi="Aptos"/>
                <w:b w:val="0"/>
                <w:sz w:val="16"/>
              </w:rPr>
              <w:t>URL-encoded query containing an injection pattern.</w:t>
            </w:r>
          </w:p>
        </w:tc>
        <w:tc>
          <w:tcPr>
            <w:tcW w:type="dxa" w:w="3360"/>
            <w:vAlign w:val="center"/>
          </w:tcPr>
          <w:p>
            <w:r/>
            <w:r>
              <w:rPr>
                <w:rFonts w:ascii="Aptos" w:hAnsi="Aptos"/>
                <w:b w:val="0"/>
                <w:sz w:val="16"/>
              </w:rPr>
              <w:t>HTTP 403 or managed-rule block, sampled request, metric increment, and WAF log record.</w:t>
            </w:r>
          </w:p>
        </w:tc>
      </w:tr>
      <w:tr>
        <w:tc>
          <w:tcPr>
            <w:tcW w:type="dxa" w:w="3360"/>
            <w:vAlign w:val="center"/>
          </w:tcPr>
          <w:p>
            <w:r/>
            <w:r>
              <w:rPr>
                <w:rFonts w:ascii="Aptos" w:hAnsi="Aptos"/>
                <w:b w:val="0"/>
                <w:sz w:val="16"/>
              </w:rPr>
              <w:t>XSS</w:t>
            </w:r>
          </w:p>
        </w:tc>
        <w:tc>
          <w:tcPr>
            <w:tcW w:type="dxa" w:w="3360"/>
            <w:vAlign w:val="center"/>
          </w:tcPr>
          <w:p>
            <w:r/>
            <w:r>
              <w:rPr>
                <w:rFonts w:ascii="Aptos" w:hAnsi="Aptos"/>
                <w:b w:val="0"/>
                <w:sz w:val="16"/>
              </w:rPr>
              <w:t>URL-encoded script payload.</w:t>
            </w:r>
          </w:p>
        </w:tc>
        <w:tc>
          <w:tcPr>
            <w:tcW w:type="dxa" w:w="3360"/>
            <w:vAlign w:val="center"/>
          </w:tcPr>
          <w:p>
            <w:r/>
            <w:r>
              <w:rPr>
                <w:rFonts w:ascii="Aptos" w:hAnsi="Aptos"/>
                <w:b w:val="0"/>
                <w:sz w:val="16"/>
              </w:rPr>
              <w:t>HTTP 403 or managed-rule block with terminating rule details.</w:t>
            </w:r>
          </w:p>
        </w:tc>
      </w:tr>
      <w:tr>
        <w:tc>
          <w:tcPr>
            <w:tcW w:type="dxa" w:w="3360"/>
            <w:vAlign w:val="center"/>
          </w:tcPr>
          <w:p>
            <w:r/>
            <w:r>
              <w:rPr>
                <w:rFonts w:ascii="Aptos" w:hAnsi="Aptos"/>
                <w:b w:val="0"/>
                <w:sz w:val="16"/>
              </w:rPr>
              <w:t>Rate limit</w:t>
            </w:r>
          </w:p>
        </w:tc>
        <w:tc>
          <w:tcPr>
            <w:tcW w:type="dxa" w:w="3360"/>
            <w:vAlign w:val="center"/>
          </w:tcPr>
          <w:p>
            <w:r/>
            <w:r>
              <w:rPr>
                <w:rFonts w:ascii="Aptos" w:hAnsi="Aptos"/>
                <w:b w:val="0"/>
                <w:sz w:val="16"/>
              </w:rPr>
              <w:t>More than 100 requests from one source within the evaluation window.</w:t>
            </w:r>
          </w:p>
        </w:tc>
        <w:tc>
          <w:tcPr>
            <w:tcW w:type="dxa" w:w="3360"/>
            <w:vAlign w:val="center"/>
          </w:tcPr>
          <w:p>
            <w:r/>
            <w:r>
              <w:rPr>
                <w:rFonts w:ascii="Aptos" w:hAnsi="Aptos"/>
                <w:b w:val="0"/>
                <w:sz w:val="16"/>
              </w:rPr>
              <w:t>Subsequent requests blocked; exact transition may not occur at request 101 because evaluation is continuous.</w:t>
            </w:r>
          </w:p>
        </w:tc>
      </w:tr>
    </w:tbl>
    <w:p>
      <w:r>
        <w:br w:type="page"/>
      </w:r>
    </w:p>
    <w:p>
      <w:pPr>
        <w:pStyle w:val="Heading1"/>
      </w:pPr>
      <w:r>
        <w:t>7. Full-stack encryption</w:t>
      </w:r>
    </w:p>
    <w:p>
      <w:r>
        <w:t>A customer-managed symmetric KMS key is created in us-east-2 and automatic rotation is enabled. Separate keys per data classification or workload boundary provide stronger isolation than one shared key. Key policies retain account-root administration and grant only required service principals and operational roles.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6E75"/>
          </w:tcPr>
          <w:p>
            <w:r/>
            <w:r>
              <w:rPr>
                <w:rFonts w:ascii="Aptos" w:hAnsi="Aptos"/>
                <w:b/>
                <w:color w:val="FFFFFF"/>
                <w:sz w:val="16"/>
              </w:rPr>
              <w:t>Asset</w:t>
            </w:r>
          </w:p>
        </w:tc>
        <w:tc>
          <w:tcPr>
            <w:tcW w:type="dxa" w:w="3360"/>
            <w:vAlign w:val="center"/>
            <w:shd w:fill="0B6E75"/>
          </w:tcPr>
          <w:p>
            <w:r/>
            <w:r>
              <w:rPr>
                <w:rFonts w:ascii="Aptos" w:hAnsi="Aptos"/>
                <w:b/>
                <w:color w:val="FFFFFF"/>
                <w:sz w:val="16"/>
              </w:rPr>
              <w:t>Encryption control</w:t>
            </w:r>
          </w:p>
        </w:tc>
        <w:tc>
          <w:tcPr>
            <w:tcW w:type="dxa" w:w="3360"/>
            <w:vAlign w:val="center"/>
            <w:shd w:fill="0B6E75"/>
          </w:tcPr>
          <w:p>
            <w:r/>
            <w:r>
              <w:rPr>
                <w:rFonts w:ascii="Aptos" w:hAnsi="Aptos"/>
                <w:b/>
                <w:color w:val="FFFFFF"/>
                <w:sz w:val="16"/>
              </w:rPr>
              <w:t>Verification</w:t>
            </w:r>
          </w:p>
        </w:tc>
      </w:tr>
      <w:tr>
        <w:tc>
          <w:tcPr>
            <w:tcW w:type="dxa" w:w="3360"/>
            <w:vAlign w:val="center"/>
          </w:tcPr>
          <w:p>
            <w:r/>
            <w:r>
              <w:rPr>
                <w:rFonts w:ascii="Aptos" w:hAnsi="Aptos"/>
                <w:b w:val="0"/>
                <w:sz w:val="16"/>
              </w:rPr>
              <w:t>S3 application/evidence objects</w:t>
            </w:r>
          </w:p>
        </w:tc>
        <w:tc>
          <w:tcPr>
            <w:tcW w:type="dxa" w:w="3360"/>
            <w:vAlign w:val="center"/>
          </w:tcPr>
          <w:p>
            <w:r/>
            <w:r>
              <w:rPr>
                <w:rFonts w:ascii="Aptos" w:hAnsi="Aptos"/>
                <w:b w:val="0"/>
                <w:sz w:val="16"/>
              </w:rPr>
              <w:t>Default SSE-KMS using the customer-managed key.</w:t>
            </w:r>
          </w:p>
        </w:tc>
        <w:tc>
          <w:tcPr>
            <w:tcW w:type="dxa" w:w="3360"/>
            <w:vAlign w:val="center"/>
          </w:tcPr>
          <w:p>
            <w:r/>
            <w:r>
              <w:rPr>
                <w:rFonts w:ascii="Aptos" w:hAnsi="Aptos"/>
                <w:b w:val="0"/>
                <w:sz w:val="16"/>
              </w:rPr>
              <w:t>s3api head-object returns ServerSideEncryption=aws:kms and the expected SSEKMSKeyId.</w:t>
            </w:r>
          </w:p>
        </w:tc>
      </w:tr>
      <w:tr>
        <w:tc>
          <w:tcPr>
            <w:tcW w:type="dxa" w:w="3360"/>
            <w:vAlign w:val="center"/>
          </w:tcPr>
          <w:p>
            <w:r/>
            <w:r>
              <w:rPr>
                <w:rFonts w:ascii="Aptos" w:hAnsi="Aptos"/>
                <w:b w:val="0"/>
                <w:sz w:val="16"/>
              </w:rPr>
              <w:t>CloudTrail logs</w:t>
            </w:r>
          </w:p>
        </w:tc>
        <w:tc>
          <w:tcPr>
            <w:tcW w:type="dxa" w:w="3360"/>
            <w:vAlign w:val="center"/>
          </w:tcPr>
          <w:p>
            <w:r/>
            <w:r>
              <w:rPr>
                <w:rFonts w:ascii="Aptos" w:hAnsi="Aptos"/>
                <w:b w:val="0"/>
                <w:sz w:val="16"/>
              </w:rPr>
              <w:t>Trail configured with KMS key; key policy permits CloudTrail data-key generation.</w:t>
            </w:r>
          </w:p>
        </w:tc>
        <w:tc>
          <w:tcPr>
            <w:tcW w:type="dxa" w:w="3360"/>
            <w:vAlign w:val="center"/>
          </w:tcPr>
          <w:p>
            <w:r/>
            <w:r>
              <w:rPr>
                <w:rFonts w:ascii="Aptos" w:hAnsi="Aptos"/>
                <w:b w:val="0"/>
                <w:sz w:val="16"/>
              </w:rPr>
              <w:t>describe-trails and get-trail-status show the key and active logging.</w:t>
            </w:r>
          </w:p>
        </w:tc>
      </w:tr>
      <w:tr>
        <w:tc>
          <w:tcPr>
            <w:tcW w:type="dxa" w:w="3360"/>
            <w:vAlign w:val="center"/>
          </w:tcPr>
          <w:p>
            <w:r/>
            <w:r>
              <w:rPr>
                <w:rFonts w:ascii="Aptos" w:hAnsi="Aptos"/>
                <w:b w:val="0"/>
                <w:sz w:val="16"/>
              </w:rPr>
              <w:t>CloudWatch log groups</w:t>
            </w:r>
          </w:p>
        </w:tc>
        <w:tc>
          <w:tcPr>
            <w:tcW w:type="dxa" w:w="3360"/>
            <w:vAlign w:val="center"/>
          </w:tcPr>
          <w:p>
            <w:r/>
            <w:r>
              <w:rPr>
                <w:rFonts w:ascii="Aptos" w:hAnsi="Aptos"/>
                <w:b w:val="0"/>
                <w:sz w:val="16"/>
              </w:rPr>
              <w:t>Associate an approved KMS key with each sensitive log group.</w:t>
            </w:r>
          </w:p>
        </w:tc>
        <w:tc>
          <w:tcPr>
            <w:tcW w:type="dxa" w:w="3360"/>
            <w:vAlign w:val="center"/>
          </w:tcPr>
          <w:p>
            <w:r/>
            <w:r>
              <w:rPr>
                <w:rFonts w:ascii="Aptos" w:hAnsi="Aptos"/>
                <w:b w:val="0"/>
                <w:sz w:val="16"/>
              </w:rPr>
              <w:t>describe-log-groups returns kmsKeyId.</w:t>
            </w:r>
          </w:p>
        </w:tc>
      </w:tr>
      <w:tr>
        <w:tc>
          <w:tcPr>
            <w:tcW w:type="dxa" w:w="3360"/>
            <w:vAlign w:val="center"/>
          </w:tcPr>
          <w:p>
            <w:r/>
            <w:r>
              <w:rPr>
                <w:rFonts w:ascii="Aptos" w:hAnsi="Aptos"/>
                <w:b w:val="0"/>
                <w:sz w:val="16"/>
              </w:rPr>
              <w:t>Secrets/environment values</w:t>
            </w:r>
          </w:p>
        </w:tc>
        <w:tc>
          <w:tcPr>
            <w:tcW w:type="dxa" w:w="3360"/>
            <w:vAlign w:val="center"/>
          </w:tcPr>
          <w:p>
            <w:r/>
            <w:r>
              <w:rPr>
                <w:rFonts w:ascii="Aptos" w:hAnsi="Aptos"/>
                <w:b w:val="0"/>
                <w:sz w:val="16"/>
              </w:rPr>
              <w:t>Store secrets in Secrets Manager or encrypted SSM Parameter Store rather than plaintext variables.</w:t>
            </w:r>
          </w:p>
        </w:tc>
        <w:tc>
          <w:tcPr>
            <w:tcW w:type="dxa" w:w="3360"/>
            <w:vAlign w:val="center"/>
          </w:tcPr>
          <w:p>
            <w:r/>
            <w:r>
              <w:rPr>
                <w:rFonts w:ascii="Aptos" w:hAnsi="Aptos"/>
                <w:b w:val="0"/>
                <w:sz w:val="16"/>
              </w:rPr>
              <w:t>Describe command shows KMS key; application role can decrypt only required secret.</w:t>
            </w:r>
          </w:p>
        </w:tc>
      </w:tr>
      <w:tr>
        <w:tc>
          <w:tcPr>
            <w:tcW w:type="dxa" w:w="3360"/>
            <w:vAlign w:val="center"/>
          </w:tcPr>
          <w:p>
            <w:r/>
            <w:r>
              <w:rPr>
                <w:rFonts w:ascii="Aptos" w:hAnsi="Aptos"/>
                <w:b w:val="0"/>
                <w:sz w:val="16"/>
              </w:rPr>
              <w:t>Transport</w:t>
            </w:r>
          </w:p>
        </w:tc>
        <w:tc>
          <w:tcPr>
            <w:tcW w:type="dxa" w:w="3360"/>
            <w:vAlign w:val="center"/>
          </w:tcPr>
          <w:p>
            <w:r/>
            <w:r>
              <w:rPr>
                <w:rFonts w:ascii="Aptos" w:hAnsi="Aptos"/>
                <w:b w:val="0"/>
                <w:sz w:val="16"/>
              </w:rPr>
              <w:t>ACM certificate on ALB HTTPS listener and HTTP 301 redirect.</w:t>
            </w:r>
          </w:p>
        </w:tc>
        <w:tc>
          <w:tcPr>
            <w:tcW w:type="dxa" w:w="3360"/>
            <w:vAlign w:val="center"/>
          </w:tcPr>
          <w:p>
            <w:r/>
            <w:r>
              <w:rPr>
                <w:rFonts w:ascii="Aptos" w:hAnsi="Aptos"/>
                <w:b w:val="0"/>
                <w:sz w:val="16"/>
              </w:rPr>
              <w:t>curl shows redirect, TLS handshake succeeds, and certificate matches the hostname.</w:t>
            </w:r>
          </w:p>
        </w:tc>
      </w:tr>
    </w:tbl>
    <w:p>
      <w:r>
        <w:t>Trade-off: Customer-managed keys increase control, separation of duties, rotation visibility, and revocation capability. They also add policy complexity and the risk of denying a service through an incorrect key policy. Every key integration must therefore be tested before production cutover, and key deletion must use a controlled waiting period.</w:t>
      </w:r>
    </w:p>
    <w:p>
      <w:pPr>
        <w:pStyle w:val="Heading1"/>
      </w:pPr>
      <w:r>
        <w:t>8. Reproducible deployment sequence</w:t>
      </w:r>
    </w:p>
    <w:p>
      <w:r>
        <w:t>Run each script from Git Bash with AWS CLI v2. Use profiles or role assumption to target the correct account. Never rely on variables from a previous terminal session. Every script begins with strict mode, discovers account identity, validates required variables, and stops on errors.</w:t>
      </w:r>
    </w:p>
    <w:p>
      <w:pPr>
        <w:pStyle w:val="CodeBlock"/>
      </w:pPr>
      <w:r>
        <w:t>#!/usr/bin/env bash</w:t>
      </w:r>
    </w:p>
    <w:p>
      <w:pPr>
        <w:pStyle w:val="CodeBlock"/>
      </w:pPr>
      <w:r>
        <w:t>set -Eeuo pipefail</w:t>
      </w:r>
    </w:p>
    <w:p>
      <w:pPr>
        <w:pStyle w:val="CodeBlock"/>
      </w:pPr>
      <w:r>
        <w:t>export AWS_PAGER=""</w:t>
      </w:r>
    </w:p>
    <w:p>
      <w:pPr>
        <w:pStyle w:val="CodeBlock"/>
      </w:pPr>
      <w:r>
        <w:t>: "${AWS_REGION:=us-east-2}"</w:t>
      </w:r>
    </w:p>
    <w:p>
      <w:pPr>
        <w:pStyle w:val="CodeBlock"/>
      </w:pPr>
      <w:r>
        <w:t>AWS_ACCOUNT_ID=$(aws sts get-caller-identity --query Account --output text)</w:t>
      </w:r>
    </w:p>
    <w:p>
      <w:pPr>
        <w:pStyle w:val="CodeBlock"/>
      </w:pPr>
      <w:r>
        <w:t>[[ -n "$AWS_ACCOUNT_ID" &amp;&amp; "$AWS_ACCOUNT_ID" != "None" ]] || exit 1</w:t>
      </w:r>
    </w:p>
    <w:p>
      <w:pPr>
        <w:pStyle w:val="CodeBlock"/>
      </w:pPr>
      <w:r>
        <w:t>printf "Account=%s Region=%s\n" "$AWS_ACCOUNT_ID" "$AWS_REGION"</w:t>
      </w:r>
    </w:p>
    <w:p>
      <w:pPr>
        <w:pStyle w:val="Heading2"/>
      </w:pPr>
      <w:r>
        <w:t>Script order</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6E75"/>
          </w:tcPr>
          <w:p>
            <w:r/>
            <w:r>
              <w:rPr>
                <w:rFonts w:ascii="Aptos" w:hAnsi="Aptos"/>
                <w:b/>
                <w:color w:val="FFFFFF"/>
                <w:sz w:val="16"/>
              </w:rPr>
              <w:t>Script</w:t>
            </w:r>
          </w:p>
        </w:tc>
        <w:tc>
          <w:tcPr>
            <w:tcW w:type="dxa" w:w="3360"/>
            <w:vAlign w:val="center"/>
            <w:shd w:fill="0B6E75"/>
          </w:tcPr>
          <w:p>
            <w:r/>
            <w:r>
              <w:rPr>
                <w:rFonts w:ascii="Aptos" w:hAnsi="Aptos"/>
                <w:b/>
                <w:color w:val="FFFFFF"/>
                <w:sz w:val="16"/>
              </w:rPr>
              <w:t>Account/context</w:t>
            </w:r>
          </w:p>
        </w:tc>
        <w:tc>
          <w:tcPr>
            <w:tcW w:type="dxa" w:w="3360"/>
            <w:vAlign w:val="center"/>
            <w:shd w:fill="0B6E75"/>
          </w:tcPr>
          <w:p>
            <w:r/>
            <w:r>
              <w:rPr>
                <w:rFonts w:ascii="Aptos" w:hAnsi="Aptos"/>
                <w:b/>
                <w:color w:val="FFFFFF"/>
                <w:sz w:val="16"/>
              </w:rPr>
              <w:t>Creates and validates</w:t>
            </w:r>
          </w:p>
        </w:tc>
      </w:tr>
      <w:tr>
        <w:tc>
          <w:tcPr>
            <w:tcW w:type="dxa" w:w="3360"/>
            <w:vAlign w:val="center"/>
          </w:tcPr>
          <w:p>
            <w:r/>
            <w:r>
              <w:rPr>
                <w:rFonts w:ascii="Aptos" w:hAnsi="Aptos"/>
                <w:b w:val="0"/>
                <w:sz w:val="16"/>
              </w:rPr>
              <w:t>01-foundation.sh</w:t>
            </w:r>
          </w:p>
        </w:tc>
        <w:tc>
          <w:tcPr>
            <w:tcW w:type="dxa" w:w="3360"/>
            <w:vAlign w:val="center"/>
          </w:tcPr>
          <w:p>
            <w:r/>
            <w:r>
              <w:rPr>
                <w:rFonts w:ascii="Aptos" w:hAnsi="Aptos"/>
                <w:b w:val="0"/>
                <w:sz w:val="16"/>
              </w:rPr>
              <w:t>Management and Logging</w:t>
            </w:r>
          </w:p>
        </w:tc>
        <w:tc>
          <w:tcPr>
            <w:tcW w:type="dxa" w:w="3360"/>
            <w:vAlign w:val="center"/>
          </w:tcPr>
          <w:p>
            <w:r/>
            <w:r>
              <w:rPr>
                <w:rFonts w:ascii="Aptos" w:hAnsi="Aptos"/>
                <w:b w:val="0"/>
                <w:sz w:val="16"/>
              </w:rPr>
              <w:t>Organizations/OUs, SCP, CloudTrail bucket policy, organization trail, KMS, versioning, centralized log delivery.</w:t>
            </w:r>
          </w:p>
        </w:tc>
      </w:tr>
      <w:tr>
        <w:tc>
          <w:tcPr>
            <w:tcW w:type="dxa" w:w="3360"/>
            <w:vAlign w:val="center"/>
          </w:tcPr>
          <w:p>
            <w:r/>
            <w:r>
              <w:rPr>
                <w:rFonts w:ascii="Aptos" w:hAnsi="Aptos"/>
                <w:b w:val="0"/>
                <w:sz w:val="16"/>
              </w:rPr>
              <w:t>02-identity.sh</w:t>
            </w:r>
          </w:p>
        </w:tc>
        <w:tc>
          <w:tcPr>
            <w:tcW w:type="dxa" w:w="3360"/>
            <w:vAlign w:val="center"/>
          </w:tcPr>
          <w:p>
            <w:r/>
            <w:r>
              <w:rPr>
                <w:rFonts w:ascii="Aptos" w:hAnsi="Aptos"/>
                <w:b w:val="0"/>
                <w:sz w:val="16"/>
              </w:rPr>
              <w:t>Target deployment account</w:t>
            </w:r>
          </w:p>
        </w:tc>
        <w:tc>
          <w:tcPr>
            <w:tcW w:type="dxa" w:w="3360"/>
            <w:vAlign w:val="center"/>
          </w:tcPr>
          <w:p>
            <w:r/>
            <w:r>
              <w:rPr>
                <w:rFonts w:ascii="Aptos" w:hAnsi="Aptos"/>
                <w:b w:val="0"/>
                <w:sz w:val="16"/>
              </w:rPr>
              <w:t>Permission boundary, DevOpsEngineer role, GitHub OIDC provider, restricted deployment role, workflow file.</w:t>
            </w:r>
          </w:p>
        </w:tc>
      </w:tr>
      <w:tr>
        <w:tc>
          <w:tcPr>
            <w:tcW w:type="dxa" w:w="3360"/>
            <w:vAlign w:val="center"/>
          </w:tcPr>
          <w:p>
            <w:r/>
            <w:r>
              <w:rPr>
                <w:rFonts w:ascii="Aptos" w:hAnsi="Aptos"/>
                <w:b w:val="0"/>
                <w:sz w:val="16"/>
              </w:rPr>
              <w:t>03-security-automation.sh</w:t>
            </w:r>
          </w:p>
        </w:tc>
        <w:tc>
          <w:tcPr>
            <w:tcW w:type="dxa" w:w="3360"/>
            <w:vAlign w:val="center"/>
          </w:tcPr>
          <w:p>
            <w:r/>
            <w:r>
              <w:rPr>
                <w:rFonts w:ascii="Aptos" w:hAnsi="Aptos"/>
                <w:b w:val="0"/>
                <w:sz w:val="16"/>
              </w:rPr>
              <w:t>Security and workload accounts</w:t>
            </w:r>
          </w:p>
        </w:tc>
        <w:tc>
          <w:tcPr>
            <w:tcW w:type="dxa" w:w="3360"/>
            <w:vAlign w:val="center"/>
          </w:tcPr>
          <w:p>
            <w:r/>
            <w:r>
              <w:rPr>
                <w:rFonts w:ascii="Aptos" w:hAnsi="Aptos"/>
                <w:b w:val="0"/>
                <w:sz w:val="16"/>
              </w:rPr>
              <w:t>GuardDuty, SNS, evidence bucket, Lambda, Step Functions, EventBridge roles/rules/targets.</w:t>
            </w:r>
          </w:p>
        </w:tc>
      </w:tr>
      <w:tr>
        <w:tc>
          <w:tcPr>
            <w:tcW w:type="dxa" w:w="3360"/>
            <w:vAlign w:val="center"/>
          </w:tcPr>
          <w:p>
            <w:r/>
            <w:r>
              <w:rPr>
                <w:rFonts w:ascii="Aptos" w:hAnsi="Aptos"/>
                <w:b w:val="0"/>
                <w:sz w:val="16"/>
              </w:rPr>
              <w:t>04-compliance.sh</w:t>
            </w:r>
          </w:p>
        </w:tc>
        <w:tc>
          <w:tcPr>
            <w:tcW w:type="dxa" w:w="3360"/>
            <w:vAlign w:val="center"/>
          </w:tcPr>
          <w:p>
            <w:r/>
            <w:r>
              <w:rPr>
                <w:rFonts w:ascii="Aptos" w:hAnsi="Aptos"/>
                <w:b w:val="0"/>
                <w:sz w:val="16"/>
              </w:rPr>
              <w:t>Each governed account/region</w:t>
            </w:r>
          </w:p>
        </w:tc>
        <w:tc>
          <w:tcPr>
            <w:tcW w:type="dxa" w:w="3360"/>
            <w:vAlign w:val="center"/>
          </w:tcPr>
          <w:p>
            <w:r/>
            <w:r>
              <w:rPr>
                <w:rFonts w:ascii="Aptos" w:hAnsi="Aptos"/>
                <w:b w:val="0"/>
                <w:sz w:val="16"/>
              </w:rPr>
              <w:t>Config recorder/channel/rule/remediation, Security Hub, Inspector, aggregation.</w:t>
            </w:r>
          </w:p>
        </w:tc>
      </w:tr>
      <w:tr>
        <w:tc>
          <w:tcPr>
            <w:tcW w:type="dxa" w:w="3360"/>
            <w:vAlign w:val="center"/>
          </w:tcPr>
          <w:p>
            <w:r/>
            <w:r>
              <w:rPr>
                <w:rFonts w:ascii="Aptos" w:hAnsi="Aptos"/>
                <w:b w:val="0"/>
                <w:sz w:val="16"/>
              </w:rPr>
              <w:t>05-application-security.sh</w:t>
            </w:r>
          </w:p>
        </w:tc>
        <w:tc>
          <w:tcPr>
            <w:tcW w:type="dxa" w:w="3360"/>
            <w:vAlign w:val="center"/>
          </w:tcPr>
          <w:p>
            <w:r/>
            <w:r>
              <w:rPr>
                <w:rFonts w:ascii="Aptos" w:hAnsi="Aptos"/>
                <w:b w:val="0"/>
                <w:sz w:val="16"/>
              </w:rPr>
              <w:t>Production</w:t>
            </w:r>
          </w:p>
        </w:tc>
        <w:tc>
          <w:tcPr>
            <w:tcW w:type="dxa" w:w="3360"/>
            <w:vAlign w:val="center"/>
          </w:tcPr>
          <w:p>
            <w:r/>
            <w:r>
              <w:rPr>
                <w:rFonts w:ascii="Aptos" w:hAnsi="Aptos"/>
                <w:b w:val="0"/>
                <w:sz w:val="16"/>
              </w:rPr>
              <w:t>Network controls, application, ALB, target group, ACM, HTTPS redirect, WAF, logging.</w:t>
            </w:r>
          </w:p>
        </w:tc>
      </w:tr>
      <w:tr>
        <w:tc>
          <w:tcPr>
            <w:tcW w:type="dxa" w:w="3360"/>
            <w:vAlign w:val="center"/>
          </w:tcPr>
          <w:p>
            <w:r/>
            <w:r>
              <w:rPr>
                <w:rFonts w:ascii="Aptos" w:hAnsi="Aptos"/>
                <w:b w:val="0"/>
                <w:sz w:val="16"/>
              </w:rPr>
              <w:t>06-validation.sh</w:t>
            </w:r>
          </w:p>
        </w:tc>
        <w:tc>
          <w:tcPr>
            <w:tcW w:type="dxa" w:w="3360"/>
            <w:vAlign w:val="center"/>
          </w:tcPr>
          <w:p>
            <w:r/>
            <w:r>
              <w:rPr>
                <w:rFonts w:ascii="Aptos" w:hAnsi="Aptos"/>
                <w:b w:val="0"/>
                <w:sz w:val="16"/>
              </w:rPr>
              <w:t>Role/profile appropriate to test</w:t>
            </w:r>
          </w:p>
        </w:tc>
        <w:tc>
          <w:tcPr>
            <w:tcW w:type="dxa" w:w="3360"/>
            <w:vAlign w:val="center"/>
          </w:tcPr>
          <w:p>
            <w:r/>
            <w:r>
              <w:rPr>
                <w:rFonts w:ascii="Aptos" w:hAnsi="Aptos"/>
                <w:b w:val="0"/>
                <w:sz w:val="16"/>
              </w:rPr>
              <w:t>All positive and negative tests plus timestamped evidence collection.</w:t>
            </w:r>
          </w:p>
        </w:tc>
      </w:tr>
    </w:tbl>
    <w:p>
      <w:pPr>
        <w:pStyle w:val="Heading2"/>
      </w:pPr>
      <w:r>
        <w:t>Idempotency rules</w:t>
      </w:r>
    </w:p>
    <w:p>
      <w:pPr>
        <w:pStyle w:val="ListBullet"/>
      </w:pPr>
      <w:r>
        <w:t>Discover before create. Use get/list APIs and create only when the resource does not exist.</w:t>
      </w:r>
    </w:p>
    <w:p>
      <w:pPr>
        <w:pStyle w:val="ListBullet"/>
      </w:pPr>
      <w:r>
        <w:t>Retrieve ARNs after every create or from list/get APIs. Never construct service-generated IDs manually.</w:t>
      </w:r>
    </w:p>
    <w:p>
      <w:pPr>
        <w:pStyle w:val="ListBullet"/>
      </w:pPr>
      <w:r>
        <w:t>Validate every generated JSON file before API submission and print expanded values to detect empty variables.</w:t>
      </w:r>
    </w:p>
    <w:p>
      <w:pPr>
        <w:pStyle w:val="ListBullet"/>
      </w:pPr>
      <w:r>
        <w:t>Use literal resource names only when fixed by the design; otherwise derive globally unique names from project, account, and region.</w:t>
      </w:r>
    </w:p>
    <w:p>
      <w:pPr>
        <w:pStyle w:val="ListBullet"/>
      </w:pPr>
      <w:r>
        <w:t>Do not hide command failures. Redirect only expected lookup failures used in existence checks.</w:t>
      </w:r>
    </w:p>
    <w:p>
      <w:pPr>
        <w:pStyle w:val="ListBullet"/>
      </w:pPr>
      <w:r>
        <w:t>Record current caller identity before each account-specific module.</w:t>
      </w:r>
    </w:p>
    <w:p>
      <w:r>
        <w:br w:type="page"/>
      </w:r>
    </w:p>
    <w:p>
      <w:pPr>
        <w:pStyle w:val="Heading1"/>
      </w:pPr>
      <w:r>
        <w:t>9. Validation and evidence plan</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vAlign w:val="center"/>
            <w:shd w:fill="0B6E75"/>
          </w:tcPr>
          <w:p>
            <w:r/>
            <w:r>
              <w:rPr>
                <w:rFonts w:ascii="Aptos" w:hAnsi="Aptos"/>
                <w:b/>
                <w:color w:val="FFFFFF"/>
                <w:sz w:val="16"/>
              </w:rPr>
              <w:t>Scenario</w:t>
            </w:r>
          </w:p>
        </w:tc>
        <w:tc>
          <w:tcPr>
            <w:tcW w:type="dxa" w:w="2520"/>
            <w:vAlign w:val="center"/>
            <w:shd w:fill="0B6E75"/>
          </w:tcPr>
          <w:p>
            <w:r/>
            <w:r>
              <w:rPr>
                <w:rFonts w:ascii="Aptos" w:hAnsi="Aptos"/>
                <w:b/>
                <w:color w:val="FFFFFF"/>
                <w:sz w:val="16"/>
              </w:rPr>
              <w:t>Action</w:t>
            </w:r>
          </w:p>
        </w:tc>
        <w:tc>
          <w:tcPr>
            <w:tcW w:type="dxa" w:w="2520"/>
            <w:vAlign w:val="center"/>
            <w:shd w:fill="0B6E75"/>
          </w:tcPr>
          <w:p>
            <w:r/>
            <w:r>
              <w:rPr>
                <w:rFonts w:ascii="Aptos" w:hAnsi="Aptos"/>
                <w:b/>
                <w:color w:val="FFFFFF"/>
                <w:sz w:val="16"/>
              </w:rPr>
              <w:t>Automation and expected result</w:t>
            </w:r>
          </w:p>
        </w:tc>
        <w:tc>
          <w:tcPr>
            <w:tcW w:type="dxa" w:w="2520"/>
            <w:vAlign w:val="center"/>
            <w:shd w:fill="0B6E75"/>
          </w:tcPr>
          <w:p>
            <w:r/>
            <w:r>
              <w:rPr>
                <w:rFonts w:ascii="Aptos" w:hAnsi="Aptos"/>
                <w:b/>
                <w:color w:val="FFFFFF"/>
                <w:sz w:val="16"/>
              </w:rPr>
              <w:t>Evidence</w:t>
            </w:r>
          </w:p>
        </w:tc>
      </w:tr>
      <w:tr>
        <w:tc>
          <w:tcPr>
            <w:tcW w:type="dxa" w:w="2520"/>
            <w:vAlign w:val="center"/>
          </w:tcPr>
          <w:p>
            <w:r/>
            <w:r>
              <w:rPr>
                <w:rFonts w:ascii="Aptos" w:hAnsi="Aptos"/>
                <w:b w:val="0"/>
                <w:sz w:val="16"/>
              </w:rPr>
              <w:t>Misconfigured S3</w:t>
            </w:r>
          </w:p>
        </w:tc>
        <w:tc>
          <w:tcPr>
            <w:tcW w:type="dxa" w:w="2520"/>
            <w:vAlign w:val="center"/>
          </w:tcPr>
          <w:p>
            <w:r/>
            <w:r>
              <w:rPr>
                <w:rFonts w:ascii="Aptos" w:hAnsi="Aptos"/>
                <w:b w:val="0"/>
                <w:sz w:val="16"/>
              </w:rPr>
              <w:t>Create a bucket without the required configured encryption.</w:t>
            </w:r>
          </w:p>
        </w:tc>
        <w:tc>
          <w:tcPr>
            <w:tcW w:type="dxa" w:w="2520"/>
            <w:vAlign w:val="center"/>
          </w:tcPr>
          <w:p>
            <w:r/>
            <w:r>
              <w:rPr>
                <w:rFonts w:ascii="Aptos" w:hAnsi="Aptos"/>
                <w:b w:val="0"/>
                <w:sz w:val="16"/>
              </w:rPr>
              <w:t>Config reports NON_COMPLIANT, remediation applies encryption, reevaluation becomes COMPLIANT.</w:t>
            </w:r>
          </w:p>
        </w:tc>
        <w:tc>
          <w:tcPr>
            <w:tcW w:type="dxa" w:w="2520"/>
            <w:vAlign w:val="center"/>
          </w:tcPr>
          <w:p>
            <w:r/>
            <w:r>
              <w:rPr>
                <w:rFonts w:ascii="Aptos" w:hAnsi="Aptos"/>
                <w:b w:val="0"/>
                <w:sz w:val="16"/>
              </w:rPr>
              <w:t>Rule dashboard, remediation execution, get-bucket-encryption before/after, Security Hub state.</w:t>
            </w:r>
          </w:p>
        </w:tc>
      </w:tr>
      <w:tr>
        <w:tc>
          <w:tcPr>
            <w:tcW w:type="dxa" w:w="2520"/>
            <w:vAlign w:val="center"/>
          </w:tcPr>
          <w:p>
            <w:r/>
            <w:r>
              <w:rPr>
                <w:rFonts w:ascii="Aptos" w:hAnsi="Aptos"/>
                <w:b w:val="0"/>
                <w:sz w:val="16"/>
              </w:rPr>
              <w:t>Malicious network activity</w:t>
            </w:r>
          </w:p>
        </w:tc>
        <w:tc>
          <w:tcPr>
            <w:tcW w:type="dxa" w:w="2520"/>
            <w:vAlign w:val="center"/>
          </w:tcPr>
          <w:p>
            <w:r/>
            <w:r>
              <w:rPr>
                <w:rFonts w:ascii="Aptos" w:hAnsi="Aptos"/>
                <w:b w:val="0"/>
                <w:sz w:val="16"/>
              </w:rPr>
              <w:t>Generate an approved GuardDuty sample finding.</w:t>
            </w:r>
          </w:p>
        </w:tc>
        <w:tc>
          <w:tcPr>
            <w:tcW w:type="dxa" w:w="2520"/>
            <w:vAlign w:val="center"/>
          </w:tcPr>
          <w:p>
            <w:r/>
            <w:r>
              <w:rPr>
                <w:rFonts w:ascii="Aptos" w:hAnsi="Aptos"/>
                <w:b w:val="0"/>
                <w:sz w:val="16"/>
              </w:rPr>
              <w:t>EventBridge starts Step Functions; Lambda records, notifies, and isolates the test instance.</w:t>
            </w:r>
          </w:p>
        </w:tc>
        <w:tc>
          <w:tcPr>
            <w:tcW w:type="dxa" w:w="2520"/>
            <w:vAlign w:val="center"/>
          </w:tcPr>
          <w:p>
            <w:r/>
            <w:r>
              <w:rPr>
                <w:rFonts w:ascii="Aptos" w:hAnsi="Aptos"/>
                <w:b w:val="0"/>
                <w:sz w:val="16"/>
              </w:rPr>
              <w:t>Finding ID, execution history, Lambda logs, S3 object, SNS email, instance SG/tag before/after.</w:t>
            </w:r>
          </w:p>
        </w:tc>
      </w:tr>
      <w:tr>
        <w:tc>
          <w:tcPr>
            <w:tcW w:type="dxa" w:w="2520"/>
            <w:vAlign w:val="center"/>
          </w:tcPr>
          <w:p>
            <w:r/>
            <w:r>
              <w:rPr>
                <w:rFonts w:ascii="Aptos" w:hAnsi="Aptos"/>
                <w:b w:val="0"/>
                <w:sz w:val="16"/>
              </w:rPr>
              <w:t>CI/CD abuse</w:t>
            </w:r>
          </w:p>
        </w:tc>
        <w:tc>
          <w:tcPr>
            <w:tcW w:type="dxa" w:w="2520"/>
            <w:vAlign w:val="center"/>
          </w:tcPr>
          <w:p>
            <w:r/>
            <w:r>
              <w:rPr>
                <w:rFonts w:ascii="Aptos" w:hAnsi="Aptos"/>
                <w:b w:val="0"/>
                <w:sz w:val="16"/>
              </w:rPr>
              <w:t>Run from unauthorized repo or branch.</w:t>
            </w:r>
          </w:p>
        </w:tc>
        <w:tc>
          <w:tcPr>
            <w:tcW w:type="dxa" w:w="2520"/>
            <w:vAlign w:val="center"/>
          </w:tcPr>
          <w:p>
            <w:r/>
            <w:r>
              <w:rPr>
                <w:rFonts w:ascii="Aptos" w:hAnsi="Aptos"/>
                <w:b w:val="0"/>
                <w:sz w:val="16"/>
              </w:rPr>
              <w:t>OIDC subject claim does not match and STS rejects role assumption.</w:t>
            </w:r>
          </w:p>
        </w:tc>
        <w:tc>
          <w:tcPr>
            <w:tcW w:type="dxa" w:w="2520"/>
            <w:vAlign w:val="center"/>
          </w:tcPr>
          <w:p>
            <w:r/>
            <w:r>
              <w:rPr>
                <w:rFonts w:ascii="Aptos" w:hAnsi="Aptos"/>
                <w:b w:val="0"/>
                <w:sz w:val="16"/>
              </w:rPr>
              <w:t>Failed Actions log and CloudTrail event, with no static secrets configured.</w:t>
            </w:r>
          </w:p>
        </w:tc>
      </w:tr>
      <w:tr>
        <w:tc>
          <w:tcPr>
            <w:tcW w:type="dxa" w:w="2520"/>
            <w:vAlign w:val="center"/>
          </w:tcPr>
          <w:p>
            <w:r/>
            <w:r>
              <w:rPr>
                <w:rFonts w:ascii="Aptos" w:hAnsi="Aptos"/>
                <w:b w:val="0"/>
                <w:sz w:val="16"/>
              </w:rPr>
              <w:t>Application attack</w:t>
            </w:r>
          </w:p>
        </w:tc>
        <w:tc>
          <w:tcPr>
            <w:tcW w:type="dxa" w:w="2520"/>
            <w:vAlign w:val="center"/>
          </w:tcPr>
          <w:p>
            <w:r/>
            <w:r>
              <w:rPr>
                <w:rFonts w:ascii="Aptos" w:hAnsi="Aptos"/>
                <w:b w:val="0"/>
                <w:sz w:val="16"/>
              </w:rPr>
              <w:t>Send encoded SQLi/XSS payloads and controlled request burst.</w:t>
            </w:r>
          </w:p>
        </w:tc>
        <w:tc>
          <w:tcPr>
            <w:tcW w:type="dxa" w:w="2520"/>
            <w:vAlign w:val="center"/>
          </w:tcPr>
          <w:p>
            <w:r/>
            <w:r>
              <w:rPr>
                <w:rFonts w:ascii="Aptos" w:hAnsi="Aptos"/>
                <w:b w:val="0"/>
                <w:sz w:val="16"/>
              </w:rPr>
              <w:t>WAF managed/rate rules terminate matching requests.</w:t>
            </w:r>
          </w:p>
        </w:tc>
        <w:tc>
          <w:tcPr>
            <w:tcW w:type="dxa" w:w="2520"/>
            <w:vAlign w:val="center"/>
          </w:tcPr>
          <w:p>
            <w:r/>
            <w:r>
              <w:rPr>
                <w:rFonts w:ascii="Aptos" w:hAnsi="Aptos"/>
                <w:b w:val="0"/>
                <w:sz w:val="16"/>
              </w:rPr>
              <w:t>curl logs, sampled requests, WAF logs and metrics.</w:t>
            </w:r>
          </w:p>
        </w:tc>
      </w:tr>
    </w:tbl>
    <w:p>
      <w:pPr>
        <w:pStyle w:val="Heading2"/>
      </w:pPr>
      <w:r>
        <w:t>Evidence naming convention</w:t>
      </w:r>
    </w:p>
    <w:p>
      <w:pPr>
        <w:pStyle w:val="CodeBlock"/>
      </w:pPr>
      <w:r>
        <w:t>evidence/YYYY-MM-DD/01-governance/</w:t>
      </w:r>
    </w:p>
    <w:p>
      <w:pPr>
        <w:pStyle w:val="CodeBlock"/>
      </w:pPr>
      <w:r>
        <w:t>evidence/YYYY-MM-DD/02-identity/</w:t>
      </w:r>
    </w:p>
    <w:p>
      <w:pPr>
        <w:pStyle w:val="CodeBlock"/>
      </w:pPr>
      <w:r>
        <w:t>evidence/YYYY-MM-DD/03-incident-response/</w:t>
      </w:r>
    </w:p>
    <w:p>
      <w:pPr>
        <w:pStyle w:val="CodeBlock"/>
      </w:pPr>
      <w:r>
        <w:t>evidence/YYYY-MM-DD/04-compliance/</w:t>
      </w:r>
    </w:p>
    <w:p>
      <w:pPr>
        <w:pStyle w:val="CodeBlock"/>
      </w:pPr>
      <w:r>
        <w:t>evidence/YYYY-MM-DD/05-waf-https/</w:t>
      </w:r>
    </w:p>
    <w:p>
      <w:pPr>
        <w:pStyle w:val="CodeBlock"/>
      </w:pPr>
      <w:r>
        <w:t>evidence/YYYY-MM-DD/06-encryption/</w:t>
      </w:r>
    </w:p>
    <w:p>
      <w:r>
        <w:t>Each evidence item should include UTC timestamp, account ID, region, command, sanitized output, test precondition, expected result, actual result, and conclusion. Redact email addresses, tokens, certificate private material, and unnecessary account details before submission.</w:t>
      </w:r>
    </w:p>
    <w:p>
      <w:pPr>
        <w:pStyle w:val="Heading1"/>
      </w:pPr>
      <w:r>
        <w:t>10. Threat model and control mapping</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6E75"/>
          </w:tcPr>
          <w:p>
            <w:r/>
            <w:r>
              <w:rPr>
                <w:rFonts w:ascii="Aptos" w:hAnsi="Aptos"/>
                <w:b/>
                <w:color w:val="FFFFFF"/>
                <w:sz w:val="16"/>
              </w:rPr>
              <w:t>Threat</w:t>
            </w:r>
          </w:p>
        </w:tc>
        <w:tc>
          <w:tcPr>
            <w:tcW w:type="dxa" w:w="3360"/>
            <w:vAlign w:val="center"/>
            <w:shd w:fill="0B6E75"/>
          </w:tcPr>
          <w:p>
            <w:r/>
            <w:r>
              <w:rPr>
                <w:rFonts w:ascii="Aptos" w:hAnsi="Aptos"/>
                <w:b/>
                <w:color w:val="FFFFFF"/>
                <w:sz w:val="16"/>
              </w:rPr>
              <w:t>Preventive controls</w:t>
            </w:r>
          </w:p>
        </w:tc>
        <w:tc>
          <w:tcPr>
            <w:tcW w:type="dxa" w:w="3360"/>
            <w:vAlign w:val="center"/>
            <w:shd w:fill="0B6E75"/>
          </w:tcPr>
          <w:p>
            <w:r/>
            <w:r>
              <w:rPr>
                <w:rFonts w:ascii="Aptos" w:hAnsi="Aptos"/>
                <w:b/>
                <w:color w:val="FFFFFF"/>
                <w:sz w:val="16"/>
              </w:rPr>
              <w:t>Detective/responding controls</w:t>
            </w:r>
          </w:p>
        </w:tc>
      </w:tr>
      <w:tr>
        <w:tc>
          <w:tcPr>
            <w:tcW w:type="dxa" w:w="3360"/>
            <w:vAlign w:val="center"/>
          </w:tcPr>
          <w:p>
            <w:r/>
            <w:r>
              <w:rPr>
                <w:rFonts w:ascii="Aptos" w:hAnsi="Aptos"/>
                <w:b w:val="0"/>
                <w:sz w:val="16"/>
              </w:rPr>
              <w:t>Privileged user destroys production resources</w:t>
            </w:r>
          </w:p>
        </w:tc>
        <w:tc>
          <w:tcPr>
            <w:tcW w:type="dxa" w:w="3360"/>
            <w:vAlign w:val="center"/>
          </w:tcPr>
          <w:p>
            <w:r/>
            <w:r>
              <w:rPr>
                <w:rFonts w:ascii="Aptos" w:hAnsi="Aptos"/>
                <w:b w:val="0"/>
                <w:sz w:val="16"/>
              </w:rPr>
              <w:t>SCP explicit deny, boundaries, separation of duties, break-glass process.</w:t>
            </w:r>
          </w:p>
        </w:tc>
        <w:tc>
          <w:tcPr>
            <w:tcW w:type="dxa" w:w="3360"/>
            <w:vAlign w:val="center"/>
          </w:tcPr>
          <w:p>
            <w:r/>
            <w:r>
              <w:rPr>
                <w:rFonts w:ascii="Aptos" w:hAnsi="Aptos"/>
                <w:b w:val="0"/>
                <w:sz w:val="16"/>
              </w:rPr>
              <w:t>CloudTrail, Security Hub, SNS alerts, access review.</w:t>
            </w:r>
          </w:p>
        </w:tc>
      </w:tr>
      <w:tr>
        <w:tc>
          <w:tcPr>
            <w:tcW w:type="dxa" w:w="3360"/>
            <w:vAlign w:val="center"/>
          </w:tcPr>
          <w:p>
            <w:r/>
            <w:r>
              <w:rPr>
                <w:rFonts w:ascii="Aptos" w:hAnsi="Aptos"/>
                <w:b w:val="0"/>
                <w:sz w:val="16"/>
              </w:rPr>
              <w:t>Compromised CI/CD credential</w:t>
            </w:r>
          </w:p>
        </w:tc>
        <w:tc>
          <w:tcPr>
            <w:tcW w:type="dxa" w:w="3360"/>
            <w:vAlign w:val="center"/>
          </w:tcPr>
          <w:p>
            <w:r/>
            <w:r>
              <w:rPr>
                <w:rFonts w:ascii="Aptos" w:hAnsi="Aptos"/>
                <w:b w:val="0"/>
                <w:sz w:val="16"/>
              </w:rPr>
              <w:t>OIDC temporary sessions, repository/branch claims, least privilege.</w:t>
            </w:r>
          </w:p>
        </w:tc>
        <w:tc>
          <w:tcPr>
            <w:tcW w:type="dxa" w:w="3360"/>
            <w:vAlign w:val="center"/>
          </w:tcPr>
          <w:p>
            <w:r/>
            <w:r>
              <w:rPr>
                <w:rFonts w:ascii="Aptos" w:hAnsi="Aptos"/>
                <w:b w:val="0"/>
                <w:sz w:val="16"/>
              </w:rPr>
              <w:t>CloudTrail role-session analysis and failed STS events.</w:t>
            </w:r>
          </w:p>
        </w:tc>
      </w:tr>
      <w:tr>
        <w:tc>
          <w:tcPr>
            <w:tcW w:type="dxa" w:w="3360"/>
            <w:vAlign w:val="center"/>
          </w:tcPr>
          <w:p>
            <w:r/>
            <w:r>
              <w:rPr>
                <w:rFonts w:ascii="Aptos" w:hAnsi="Aptos"/>
                <w:b w:val="0"/>
                <w:sz w:val="16"/>
              </w:rPr>
              <w:t>Compromised EC2 instance</w:t>
            </w:r>
          </w:p>
        </w:tc>
        <w:tc>
          <w:tcPr>
            <w:tcW w:type="dxa" w:w="3360"/>
            <w:vAlign w:val="center"/>
          </w:tcPr>
          <w:p>
            <w:r/>
            <w:r>
              <w:rPr>
                <w:rFonts w:ascii="Aptos" w:hAnsi="Aptos"/>
                <w:b w:val="0"/>
                <w:sz w:val="16"/>
              </w:rPr>
              <w:t>Private subnet, SG least privilege, encrypted secrets, patching.</w:t>
            </w:r>
          </w:p>
        </w:tc>
        <w:tc>
          <w:tcPr>
            <w:tcW w:type="dxa" w:w="3360"/>
            <w:vAlign w:val="center"/>
          </w:tcPr>
          <w:p>
            <w:r/>
            <w:r>
              <w:rPr>
                <w:rFonts w:ascii="Aptos" w:hAnsi="Aptos"/>
                <w:b w:val="0"/>
                <w:sz w:val="16"/>
              </w:rPr>
              <w:t>GuardDuty, Inspector, Step Functions containment.</w:t>
            </w:r>
          </w:p>
        </w:tc>
      </w:tr>
      <w:tr>
        <w:tc>
          <w:tcPr>
            <w:tcW w:type="dxa" w:w="3360"/>
            <w:vAlign w:val="center"/>
          </w:tcPr>
          <w:p>
            <w:r/>
            <w:r>
              <w:rPr>
                <w:rFonts w:ascii="Aptos" w:hAnsi="Aptos"/>
                <w:b w:val="0"/>
                <w:sz w:val="16"/>
              </w:rPr>
              <w:t>Unencrypted or misconfigured storage</w:t>
            </w:r>
          </w:p>
        </w:tc>
        <w:tc>
          <w:tcPr>
            <w:tcW w:type="dxa" w:w="3360"/>
            <w:vAlign w:val="center"/>
          </w:tcPr>
          <w:p>
            <w:r/>
            <w:r>
              <w:rPr>
                <w:rFonts w:ascii="Aptos" w:hAnsi="Aptos"/>
                <w:b w:val="0"/>
                <w:sz w:val="16"/>
              </w:rPr>
              <w:t>SSE-KMS defaults, bucket policies, IaC guardrails.</w:t>
            </w:r>
          </w:p>
        </w:tc>
        <w:tc>
          <w:tcPr>
            <w:tcW w:type="dxa" w:w="3360"/>
            <w:vAlign w:val="center"/>
          </w:tcPr>
          <w:p>
            <w:r/>
            <w:r>
              <w:rPr>
                <w:rFonts w:ascii="Aptos" w:hAnsi="Aptos"/>
                <w:b w:val="0"/>
                <w:sz w:val="16"/>
              </w:rPr>
              <w:t>Config rule and auto-remediation, Security Hub aggregation.</w:t>
            </w:r>
          </w:p>
        </w:tc>
      </w:tr>
      <w:tr>
        <w:tc>
          <w:tcPr>
            <w:tcW w:type="dxa" w:w="3360"/>
            <w:vAlign w:val="center"/>
          </w:tcPr>
          <w:p>
            <w:r/>
            <w:r>
              <w:rPr>
                <w:rFonts w:ascii="Aptos" w:hAnsi="Aptos"/>
                <w:b w:val="0"/>
                <w:sz w:val="16"/>
              </w:rPr>
              <w:t>Web exploit or request flood</w:t>
            </w:r>
          </w:p>
        </w:tc>
        <w:tc>
          <w:tcPr>
            <w:tcW w:type="dxa" w:w="3360"/>
            <w:vAlign w:val="center"/>
          </w:tcPr>
          <w:p>
            <w:r/>
            <w:r>
              <w:rPr>
                <w:rFonts w:ascii="Aptos" w:hAnsi="Aptos"/>
                <w:b w:val="0"/>
                <w:sz w:val="16"/>
              </w:rPr>
              <w:t>WAF managed rules, rate-based rule, HTTPS, hardened origin.</w:t>
            </w:r>
          </w:p>
        </w:tc>
        <w:tc>
          <w:tcPr>
            <w:tcW w:type="dxa" w:w="3360"/>
            <w:vAlign w:val="center"/>
          </w:tcPr>
          <w:p>
            <w:r/>
            <w:r>
              <w:rPr>
                <w:rFonts w:ascii="Aptos" w:hAnsi="Aptos"/>
                <w:b w:val="0"/>
                <w:sz w:val="16"/>
              </w:rPr>
              <w:t>WAF logs/metrics and centralized alerting.</w:t>
            </w:r>
          </w:p>
        </w:tc>
      </w:tr>
      <w:tr>
        <w:tc>
          <w:tcPr>
            <w:tcW w:type="dxa" w:w="3360"/>
            <w:vAlign w:val="center"/>
          </w:tcPr>
          <w:p>
            <w:r/>
            <w:r>
              <w:rPr>
                <w:rFonts w:ascii="Aptos" w:hAnsi="Aptos"/>
                <w:b w:val="0"/>
                <w:sz w:val="16"/>
              </w:rPr>
              <w:t>Audit-log tampering</w:t>
            </w:r>
          </w:p>
        </w:tc>
        <w:tc>
          <w:tcPr>
            <w:tcW w:type="dxa" w:w="3360"/>
            <w:vAlign w:val="center"/>
          </w:tcPr>
          <w:p>
            <w:r/>
            <w:r>
              <w:rPr>
                <w:rFonts w:ascii="Aptos" w:hAnsi="Aptos"/>
                <w:b w:val="0"/>
                <w:sz w:val="16"/>
              </w:rPr>
              <w:t>SCP deny, centralized account, KMS, versioning, restricted bucket.</w:t>
            </w:r>
          </w:p>
        </w:tc>
        <w:tc>
          <w:tcPr>
            <w:tcW w:type="dxa" w:w="3360"/>
            <w:vAlign w:val="center"/>
          </w:tcPr>
          <w:p>
            <w:r/>
            <w:r>
              <w:rPr>
                <w:rFonts w:ascii="Aptos" w:hAnsi="Aptos"/>
                <w:b w:val="0"/>
                <w:sz w:val="16"/>
              </w:rPr>
              <w:t>CloudTrail delivery status, S3 access logging/monitoring.</w:t>
            </w:r>
          </w:p>
        </w:tc>
      </w:tr>
    </w:tbl>
    <w:p>
      <w:pPr>
        <w:pStyle w:val="Heading1"/>
      </w:pPr>
      <w:r>
        <w:t>11. Five exam-style answers</w:t>
      </w:r>
    </w:p>
    <w:p>
      <w:pPr>
        <w:pStyle w:val="Heading2"/>
      </w:pPr>
      <w:r>
        <w:t>1. SCPs versus permissions boundaries</w:t>
      </w:r>
    </w:p>
    <w:p>
      <w:r>
        <w:t>An SCP sets the maximum permissions available to principals in accounts beneath the attachment point in AWS Organizations. It does not grant permissions, and an explicit deny overrides local IAM allows. A permissions boundary is attached to a user or role and limits the maximum permissions its identity policies may grant. SCPs express organization-wide governance; boundaries delegate safe IAM administration within an account. Effective access must be allowed by all applicable policy layers and not explicitly denied by any of them.</w:t>
      </w:r>
    </w:p>
    <w:p>
      <w:pPr>
        <w:pStyle w:val="Heading2"/>
      </w:pPr>
      <w:r>
        <w:t>2. Why OIDC is preferred to long-lived credentials</w:t>
      </w:r>
    </w:p>
    <w:p>
      <w:r>
        <w:t>OIDC lets GitHub present a signed workload identity token and exchange it for short-lived STS credentials. There is no static AWS secret to store, rotate, or leak from repository settings. Trust conditions bind access to an audience, repository, branch, or environment, while CloudTrail records the assumed-role session. The residual risk shifts to repository governance and workflow integrity, so protected branches and reviewed workflows remain essential.</w:t>
      </w:r>
    </w:p>
    <w:p>
      <w:pPr>
        <w:pStyle w:val="Heading2"/>
      </w:pPr>
      <w:r>
        <w:t>3. How Step Functions makes remediation consistent</w:t>
      </w:r>
    </w:p>
    <w:p>
      <w:r>
        <w:t>Step Functions externalizes the incident workflow as a versioned state machine. It provides ordered execution, retries, timeouts, explicit error paths, input/output transformation, execution history, and idempotent orchestration. This prevents partially completed manual playbooks and makes every incident follow the same validated sequence. Lambda performs bounded actions; the state machine controls when and why they run.</w:t>
      </w:r>
    </w:p>
    <w:p>
      <w:pPr>
        <w:pStyle w:val="Heading2"/>
      </w:pPr>
      <w:r>
        <w:t>4. WAF on ALB versus CloudFront</w:t>
      </w:r>
    </w:p>
    <w:p>
      <w:r>
        <w:t>ALB attachment protects a regional application directly and is simpler when users already connect to the regional load balancer. CloudFront attachment blocks attacks closer to users, reduces origin traffic, and adds caching and edge resilience. CloudFront is usually preferable for global public applications, while ALB is appropriate for regional, low-complexity deployments or where caching is unsuitable. The choice depends on latency, geographic distribution, caching, origin exposure, and operational complexity.</w:t>
      </w:r>
    </w:p>
    <w:p>
      <w:pPr>
        <w:pStyle w:val="Heading2"/>
      </w:pPr>
      <w:r>
        <w:t>5. Why auto-remediation matters</w:t>
      </w:r>
    </w:p>
    <w:p>
      <w:r>
        <w:t>Continuous detection alone leaves a compliance window between discovery and human correction. Auto-remediation shortens that window, applies controls consistently, and produces repeatable evidence. It is especially valuable for high-volume resources such as S3 buckets. However, remediation must be idempotent, scoped, observable, and reversible. High-impact changes should include approval gates or narrowly defined conditions.</w:t>
      </w:r>
    </w:p>
    <w:p>
      <w:pPr>
        <w:pStyle w:val="Heading1"/>
      </w:pPr>
      <w:r>
        <w:t>12. Operational acceptance checklist</w:t>
      </w:r>
    </w:p>
    <w:p>
      <w:pPr>
        <w:pStyle w:val="ListBullet"/>
      </w:pPr>
      <w:r>
        <w:t>Caller identity and target account are printed before every module.</w:t>
      </w:r>
    </w:p>
    <w:p>
      <w:pPr>
        <w:pStyle w:val="ListBullet"/>
      </w:pPr>
      <w:r>
        <w:t>Production SCP deny is demonstrated using credentials within the Production member account.</w:t>
      </w:r>
    </w:p>
    <w:p>
      <w:pPr>
        <w:pStyle w:val="ListBullet"/>
      </w:pPr>
      <w:r>
        <w:t>Organization trail is actively logging and member-account events appear in the central bucket.</w:t>
      </w:r>
    </w:p>
    <w:p>
      <w:pPr>
        <w:pStyle w:val="ListBullet"/>
      </w:pPr>
      <w:r>
        <w:t>DevOpsEngineer can perform allowed S3 actions but cannot perform boundary-denied actions.</w:t>
      </w:r>
    </w:p>
    <w:p>
      <w:pPr>
        <w:pStyle w:val="ListBullet"/>
      </w:pPr>
      <w:r>
        <w:t>Authorized GitHub main-branch run succeeds; unauthorized repository or branch fails.</w:t>
      </w:r>
    </w:p>
    <w:p>
      <w:pPr>
        <w:pStyle w:val="ListBullet"/>
      </w:pPr>
      <w:r>
        <w:t>EventBridge has one Step Functions target and no duplicate direct Lambda target.</w:t>
      </w:r>
    </w:p>
    <w:p>
      <w:pPr>
        <w:pStyle w:val="ListBullet"/>
      </w:pPr>
      <w:r>
        <w:t>Step Functions execution succeeds and all evidence, notification, and isolation effects are verified.</w:t>
      </w:r>
    </w:p>
    <w:p>
      <w:pPr>
        <w:pStyle w:val="ListBullet"/>
      </w:pPr>
      <w:r>
        <w:t>Config recorder reports Recording=True and LastStatus=SUCCESS; remediation proves a before/after state.</w:t>
      </w:r>
    </w:p>
    <w:p>
      <w:pPr>
        <w:pStyle w:val="ListBullet"/>
      </w:pPr>
      <w:r>
        <w:t>Security Hub and Inspector are enabled in the intended accounts and regions.</w:t>
      </w:r>
    </w:p>
    <w:p>
      <w:pPr>
        <w:pStyle w:val="ListBullet"/>
      </w:pPr>
      <w:r>
        <w:t>ALB target health is healthy before WAF testing.</w:t>
      </w:r>
    </w:p>
    <w:p>
      <w:pPr>
        <w:pStyle w:val="ListBullet"/>
      </w:pPr>
      <w:r>
        <w:t>ACM certificate is ISSUED; HTTP redirects to HTTPS; hostname validation succeeds.</w:t>
      </w:r>
    </w:p>
    <w:p>
      <w:pPr>
        <w:pStyle w:val="ListBullet"/>
      </w:pPr>
      <w:r>
        <w:t>WAF blocks or records required tests and complete logging is enabled.</w:t>
      </w:r>
    </w:p>
    <w:p>
      <w:pPr>
        <w:pStyle w:val="ListBullet"/>
      </w:pPr>
      <w:r>
        <w:t>KMS rotation is enabled and encrypted objects report the expected key ARN.</w:t>
      </w:r>
    </w:p>
    <w:p>
      <w:pPr>
        <w:pStyle w:val="ListBullet"/>
      </w:pPr>
      <w:r>
        <w:t>All outputs are stored with timestamps and sanitized for the final submission.</w:t>
      </w:r>
    </w:p>
    <w:p>
      <w:pPr>
        <w:pStyle w:val="Heading1"/>
      </w:pPr>
      <w:r>
        <w:t>References</w:t>
      </w:r>
    </w:p>
    <w:p>
      <w:r>
        <w:t>AWS documentation consulted for implementation alignment: AWS IAM OIDC provider and certificate verification; GitHub documentation for AWS OIDC claim restrictions; AWS Step Functions optimized Lambda integration and JSONPath Parameters; AWS CloudTrail organization-trail S3 bucket policies; AWS Config service-linked roles and delivery bucket permissions; AWS WAF rate-based rules. Accessed 27 August 2026.</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4"/>
      </w:rPr>
      <w:t>FINTECH AWS SECURITY PLATFORM  |  DESIGN &amp; REPRODUCIBILITY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6E75"/>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230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6E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ind w:left="259"/>
    </w:pPr>
    <w:rPr>
      <w:rFonts w:ascii="Consolas" w:hAnsi="Consolas"/>
      <w:color w:val="1F293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George Eupa</dc:creator>
  <keywords/>
  <dc:description>generated by python-docx</dc:description>
  <lastModifiedBy>George Eupa</lastModifiedBy>
  <revision>1</revision>
  <dcterms:created xsi:type="dcterms:W3CDTF">2026-08-27T19:40:32.2586787Z</dcterms:created>
  <dcterms:modified xsi:type="dcterms:W3CDTF">2026-08-27T19:40:32.2586787Z</dcterms:modified>
  <category/>
</coreProperties>
</file>