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0DE" w14:paraId="00F34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BA95BA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GXO LOGISTICS (NYSE: GXO)</w:t>
            </w:r>
          </w:p>
          <w:p w14:paraId="2C0EF66F" w14:textId="77777777" w:rsidR="000640DE" w:rsidRDefault="00000000">
            <w:pPr>
              <w:jc w:val="center"/>
            </w:pPr>
            <w:r>
              <w:rPr>
                <w:color w:val="BDD7EE"/>
                <w:sz w:val="22"/>
                <w:szCs w:val="22"/>
              </w:rPr>
              <w:t>EQUITY RESEARCH — STOCK PITCH</w:t>
            </w:r>
          </w:p>
          <w:p w14:paraId="5510CF73" w14:textId="511578A9" w:rsidR="000640DE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George </w:t>
            </w:r>
            <w:proofErr w:type="gramStart"/>
            <w:r w:rsidR="001F1279">
              <w:rPr>
                <w:color w:val="AAAAAA"/>
                <w:sz w:val="18"/>
                <w:szCs w:val="18"/>
              </w:rPr>
              <w:t>Os</w:t>
            </w:r>
            <w:r>
              <w:rPr>
                <w:color w:val="AAAAAA"/>
                <w:sz w:val="18"/>
                <w:szCs w:val="18"/>
              </w:rPr>
              <w:t>am  |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 University of </w:t>
            </w:r>
            <w:proofErr w:type="gramStart"/>
            <w:r>
              <w:rPr>
                <w:color w:val="AAAAAA"/>
                <w:sz w:val="18"/>
                <w:szCs w:val="18"/>
              </w:rPr>
              <w:t>Liverpool  |</w:t>
            </w:r>
            <w:proofErr w:type="gramEnd"/>
            <w:r>
              <w:rPr>
                <w:color w:val="AAAAAA"/>
                <w:sz w:val="18"/>
                <w:szCs w:val="18"/>
              </w:rPr>
              <w:t xml:space="preserve">  June 2026</w:t>
            </w:r>
          </w:p>
        </w:tc>
      </w:tr>
    </w:tbl>
    <w:p w14:paraId="0F21B37D" w14:textId="77777777" w:rsidR="000640DE" w:rsidRDefault="000640DE">
      <w:pPr>
        <w:spacing w:before="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2270"/>
        <w:gridCol w:w="2551"/>
        <w:gridCol w:w="1890"/>
      </w:tblGrid>
      <w:tr w:rsidR="000640DE" w14:paraId="2329D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816E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RECOMMENDATION: BUY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50EB8" w14:textId="77777777" w:rsidR="000640DE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Target Price: $68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2A26B" w14:textId="77777777" w:rsidR="000640DE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Current Price: ~$56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D9E96" w14:textId="77777777" w:rsidR="000640DE" w:rsidRDefault="00000000">
            <w:pPr>
              <w:jc w:val="center"/>
            </w:pPr>
            <w:r>
              <w:rPr>
                <w:b/>
                <w:bCs/>
                <w:color w:val="1E8449"/>
                <w:sz w:val="22"/>
                <w:szCs w:val="22"/>
              </w:rPr>
              <w:t>Upside: ~21%</w:t>
            </w:r>
          </w:p>
        </w:tc>
      </w:tr>
    </w:tbl>
    <w:p w14:paraId="1747D931" w14:textId="77777777" w:rsidR="000640DE" w:rsidRDefault="000640DE">
      <w:pPr>
        <w:spacing w:before="160" w:after="20"/>
      </w:pPr>
    </w:p>
    <w:p w14:paraId="3A63F5DB" w14:textId="77777777" w:rsidR="000640DE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COMPANY OVERVIEW</w:t>
      </w:r>
    </w:p>
    <w:p w14:paraId="27DBB039" w14:textId="77777777" w:rsidR="000640DE" w:rsidRDefault="00000000">
      <w:pPr>
        <w:spacing w:before="60" w:after="60"/>
      </w:pPr>
      <w:r>
        <w:rPr>
          <w:color w:val="000000"/>
        </w:rPr>
        <w:t>GXO Logistics is the world's largest pure-play contract logistics provider, operating 850+ warehouse locations across 25 countries with approximately 95,000 employees. Spun off from XPO Logistics in 2021, GXO manages the warehousing, fulfilment, and supply chain operations of blue-chip clients including Apple, Nike, Nestlé, and the NHS. Revenue reached a record $13.2bn in FY2025.</w:t>
      </w:r>
    </w:p>
    <w:p w14:paraId="32043022" w14:textId="77777777" w:rsidR="000640DE" w:rsidRDefault="00000000">
      <w:pPr>
        <w:spacing w:before="60" w:after="60"/>
      </w:pPr>
      <w:r>
        <w:rPr>
          <w:color w:val="000000"/>
        </w:rPr>
        <w:t>GXO does not own trucks. Instead, it runs the physical infrastructure and technology that makes global supply chains work. Every time a consumer orders online, GXO is often the company picking, packing, and shipping the product. This positions it at the centre of the structural shift toward ecommerce outsourcing.</w:t>
      </w:r>
    </w:p>
    <w:p w14:paraId="65B74F62" w14:textId="77777777" w:rsidR="000640DE" w:rsidRDefault="000640DE">
      <w:pPr>
        <w:spacing w:before="120" w:after="20"/>
      </w:pPr>
    </w:p>
    <w:p w14:paraId="446D43EF" w14:textId="77777777" w:rsidR="000640DE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KEY FINANCIALS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680"/>
        <w:gridCol w:w="1680"/>
        <w:gridCol w:w="1680"/>
        <w:gridCol w:w="1680"/>
      </w:tblGrid>
      <w:tr w:rsidR="000640DE" w14:paraId="2269CEB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FFCB" w14:textId="77777777" w:rsidR="000640DE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CBAA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FY2023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0615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FY2024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3ED9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FY2025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0842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2026E</w:t>
            </w:r>
          </w:p>
        </w:tc>
      </w:tr>
      <w:tr w:rsidR="000640DE" w14:paraId="5B20E0A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E0F" w14:textId="77777777" w:rsidR="000640DE" w:rsidRDefault="00000000">
            <w:r>
              <w:rPr>
                <w:b/>
                <w:bCs/>
              </w:rPr>
              <w:t>Revenue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C325" w14:textId="77777777" w:rsidR="000640DE" w:rsidRDefault="00000000">
            <w:pPr>
              <w:jc w:val="center"/>
            </w:pPr>
            <w:r>
              <w:t>$9.8bn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3948" w14:textId="77777777" w:rsidR="000640DE" w:rsidRDefault="00000000">
            <w:pPr>
              <w:jc w:val="center"/>
            </w:pPr>
            <w:r>
              <w:t>$11.7bn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6D01" w14:textId="77777777" w:rsidR="000640DE" w:rsidRDefault="00000000">
            <w:pPr>
              <w:jc w:val="center"/>
            </w:pPr>
            <w:r>
              <w:t>$13.2bn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7DEF" w14:textId="77777777" w:rsidR="000640DE" w:rsidRDefault="00000000">
            <w:pPr>
              <w:jc w:val="center"/>
            </w:pPr>
            <w:r>
              <w:t>~$14.0bn</w:t>
            </w:r>
          </w:p>
        </w:tc>
      </w:tr>
      <w:tr w:rsidR="000640DE" w14:paraId="256D54B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AA81" w14:textId="77777777" w:rsidR="000640DE" w:rsidRDefault="00000000">
            <w:r>
              <w:rPr>
                <w:b/>
                <w:bCs/>
              </w:rPr>
              <w:t>Revenue Growth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CFCE" w14:textId="77777777" w:rsidR="000640DE" w:rsidRDefault="00000000">
            <w:pPr>
              <w:jc w:val="center"/>
            </w:pPr>
            <w: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13D6" w14:textId="77777777" w:rsidR="000640DE" w:rsidRDefault="00000000">
            <w:pPr>
              <w:jc w:val="center"/>
            </w:pPr>
            <w:r>
              <w:t>+20%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D846" w14:textId="77777777" w:rsidR="000640DE" w:rsidRDefault="00000000">
            <w:pPr>
              <w:jc w:val="center"/>
            </w:pPr>
            <w:r>
              <w:t>+13%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E5F8" w14:textId="77777777" w:rsidR="000640DE" w:rsidRDefault="00000000">
            <w:pPr>
              <w:jc w:val="center"/>
            </w:pPr>
            <w:r>
              <w:t>+6% (guided)</w:t>
            </w:r>
          </w:p>
        </w:tc>
      </w:tr>
      <w:tr w:rsidR="000640DE" w14:paraId="2C07886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4FBC" w14:textId="77777777" w:rsidR="000640DE" w:rsidRDefault="00000000">
            <w:r>
              <w:rPr>
                <w:b/>
                <w:bCs/>
              </w:rPr>
              <w:t>Adj. EBITDA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D10A" w14:textId="77777777" w:rsidR="000640DE" w:rsidRDefault="00000000">
            <w:pPr>
              <w:jc w:val="center"/>
            </w:pPr>
            <w:r>
              <w:t>$741m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3C49" w14:textId="77777777" w:rsidR="000640DE" w:rsidRDefault="00000000">
            <w:pPr>
              <w:jc w:val="center"/>
            </w:pPr>
            <w:r>
              <w:t>$815m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7338" w14:textId="77777777" w:rsidR="000640DE" w:rsidRDefault="00000000">
            <w:pPr>
              <w:jc w:val="center"/>
            </w:pPr>
            <w:r>
              <w:t>~$855m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F5C0" w14:textId="77777777" w:rsidR="000640DE" w:rsidRDefault="00000000">
            <w:pPr>
              <w:jc w:val="center"/>
            </w:pPr>
            <w:r>
              <w:t>~$920m</w:t>
            </w:r>
          </w:p>
        </w:tc>
      </w:tr>
      <w:tr w:rsidR="000640DE" w14:paraId="2250F51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1C4D" w14:textId="77777777" w:rsidR="000640DE" w:rsidRDefault="00000000">
            <w:r>
              <w:rPr>
                <w:b/>
                <w:bCs/>
              </w:rPr>
              <w:t>Net Income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83C0" w14:textId="77777777" w:rsidR="000640DE" w:rsidRDefault="00000000">
            <w:pPr>
              <w:jc w:val="center"/>
            </w:pPr>
            <w:r>
              <w:t>$233m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250E" w14:textId="77777777" w:rsidR="000640DE" w:rsidRDefault="00000000">
            <w:pPr>
              <w:jc w:val="center"/>
            </w:pPr>
            <w:r>
              <w:t>$138m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6ECA" w14:textId="77777777" w:rsidR="000640DE" w:rsidRDefault="00000000">
            <w:pPr>
              <w:jc w:val="center"/>
            </w:pPr>
            <w:r>
              <w:t>$32m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1A04" w14:textId="77777777" w:rsidR="000640DE" w:rsidRDefault="00000000">
            <w:pPr>
              <w:jc w:val="center"/>
            </w:pPr>
            <w:r>
              <w:t>Recovery</w:t>
            </w:r>
          </w:p>
        </w:tc>
      </w:tr>
      <w:tr w:rsidR="000640DE" w14:paraId="0461070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C4A2" w14:textId="77777777" w:rsidR="000640DE" w:rsidRDefault="00000000">
            <w:r>
              <w:rPr>
                <w:b/>
                <w:bCs/>
              </w:rPr>
              <w:t>Adj. EPS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3AB0" w14:textId="77777777" w:rsidR="000640DE" w:rsidRDefault="00000000">
            <w:pPr>
              <w:jc w:val="center"/>
            </w:pPr>
            <w:r>
              <w:t>$2.59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68D9" w14:textId="77777777" w:rsidR="000640DE" w:rsidRDefault="00000000">
            <w:pPr>
              <w:jc w:val="center"/>
            </w:pPr>
            <w:r>
              <w:t>$2.80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30DC" w14:textId="77777777" w:rsidR="000640DE" w:rsidRDefault="00000000">
            <w:pPr>
              <w:jc w:val="center"/>
            </w:pPr>
            <w:r>
              <w:t>~$2.50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54A5" w14:textId="77777777" w:rsidR="000640DE" w:rsidRDefault="00000000">
            <w:pPr>
              <w:jc w:val="center"/>
            </w:pPr>
            <w:r>
              <w:t>$2.90-3.10</w:t>
            </w:r>
          </w:p>
        </w:tc>
      </w:tr>
    </w:tbl>
    <w:p w14:paraId="1956424D" w14:textId="77777777" w:rsidR="000640DE" w:rsidRDefault="000640DE">
      <w:pPr>
        <w:spacing w:before="160" w:after="20"/>
      </w:pPr>
    </w:p>
    <w:p w14:paraId="1D3A3966" w14:textId="77777777" w:rsidR="000640DE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INVESTMENT THESIS — THREE REASONS TO BUY</w:t>
      </w:r>
    </w:p>
    <w:p w14:paraId="5DB8C516" w14:textId="77777777" w:rsidR="000640DE" w:rsidRDefault="00000000">
      <w:pPr>
        <w:spacing w:before="60" w:after="60"/>
      </w:pPr>
      <w:r>
        <w:rPr>
          <w:b/>
          <w:bCs/>
          <w:color w:val="1F3864"/>
        </w:rPr>
        <w:t>1.  Ecommerce outsourcing is a structural, not cyclical, tailwind</w:t>
      </w:r>
    </w:p>
    <w:p w14:paraId="146DBE54" w14:textId="77777777" w:rsidR="000640DE" w:rsidRDefault="00000000">
      <w:pPr>
        <w:spacing w:before="60" w:after="60"/>
      </w:pPr>
      <w:r>
        <w:rPr>
          <w:color w:val="000000"/>
        </w:rPr>
        <w:t>Companies globally are outsourcing their logistics operations rather than building in-house capabilities. Ecommerce drove 42% of GXO's new business wins in 2025. GXO closed over $1 billion in new business wins for two consecutive years, and its sales pipeline is up 15% year-over-year. This is not a temporary boom — it reflects a permanent shift in how global retail operates.</w:t>
      </w:r>
    </w:p>
    <w:p w14:paraId="512B4E1E" w14:textId="77777777" w:rsidR="000640DE" w:rsidRDefault="000640DE">
      <w:pPr>
        <w:spacing w:before="80"/>
      </w:pPr>
    </w:p>
    <w:p w14:paraId="0560B82F" w14:textId="77777777" w:rsidR="000640DE" w:rsidRDefault="00000000">
      <w:pPr>
        <w:spacing w:before="60" w:after="60"/>
      </w:pPr>
      <w:r>
        <w:rPr>
          <w:b/>
          <w:bCs/>
          <w:color w:val="1F3864"/>
        </w:rPr>
        <w:t>2.  AI and automation create a genuine competitive moat</w:t>
      </w:r>
    </w:p>
    <w:p w14:paraId="6A868A09" w14:textId="77777777" w:rsidR="000640DE" w:rsidRDefault="00000000">
      <w:pPr>
        <w:spacing w:before="60" w:after="60"/>
      </w:pPr>
      <w:r>
        <w:rPr>
          <w:color w:val="000000"/>
        </w:rPr>
        <w:t xml:space="preserve">GXO has deployed 20+ AI modules across its sites under the GXO IQ platform, automating stock management, order routing, and returns processing. These technology investments make GXO's warehouses faster and cheaper to operate than </w:t>
      </w:r>
      <w:proofErr w:type="gramStart"/>
      <w:r>
        <w:rPr>
          <w:color w:val="000000"/>
        </w:rPr>
        <w:t>competitors, and</w:t>
      </w:r>
      <w:proofErr w:type="gramEnd"/>
      <w:r>
        <w:rPr>
          <w:color w:val="000000"/>
        </w:rPr>
        <w:t xml:space="preserve"> create high switching costs — clients integrate GXO's technology deeply into their own operations, making it costly to leave. No dividend is paid; all earnings are reinvested into this technological edge.</w:t>
      </w:r>
    </w:p>
    <w:p w14:paraId="466A667E" w14:textId="77777777" w:rsidR="000640DE" w:rsidRDefault="000640DE">
      <w:pPr>
        <w:spacing w:before="80"/>
      </w:pPr>
    </w:p>
    <w:p w14:paraId="7AEAC6D6" w14:textId="77777777" w:rsidR="000640DE" w:rsidRDefault="00000000">
      <w:pPr>
        <w:spacing w:before="60" w:after="60"/>
      </w:pPr>
      <w:r>
        <w:rPr>
          <w:b/>
          <w:bCs/>
          <w:color w:val="1F3864"/>
        </w:rPr>
        <w:t>3.  Stock is undervalued relative to analyst consensus — pessimism creates opportunity</w:t>
      </w:r>
    </w:p>
    <w:p w14:paraId="1BDB027F" w14:textId="77777777" w:rsidR="000640DE" w:rsidRDefault="00000000">
      <w:pPr>
        <w:spacing w:before="60" w:after="60"/>
      </w:pPr>
      <w:r>
        <w:rPr>
          <w:color w:val="000000"/>
        </w:rPr>
        <w:t xml:space="preserve">Eleven </w:t>
      </w:r>
      <w:proofErr w:type="gramStart"/>
      <w:r>
        <w:rPr>
          <w:color w:val="000000"/>
        </w:rPr>
        <w:t>analysts</w:t>
      </w:r>
      <w:proofErr w:type="gramEnd"/>
      <w:r>
        <w:rPr>
          <w:color w:val="000000"/>
        </w:rPr>
        <w:t xml:space="preserve"> rate GXO a Strong Buy with a consensus 12-month target of $68-70, representing approximately 21% upside from the current price of ~$56. The stock has been depressed by concerns over thin near-term margins and integration of the Wincanton acquisition. These are temporary headwinds. Wincanton is expected to </w:t>
      </w:r>
      <w:r>
        <w:rPr>
          <w:color w:val="000000"/>
        </w:rPr>
        <w:lastRenderedPageBreak/>
        <w:t>deliver $58 million in annual cost synergies once fully integrated, and management has guided for 4-5% organic revenue growth in 2026.</w:t>
      </w:r>
    </w:p>
    <w:p w14:paraId="3BFB7444" w14:textId="77777777" w:rsidR="000640DE" w:rsidRDefault="000640DE">
      <w:pPr>
        <w:spacing w:before="120" w:after="20"/>
      </w:pPr>
    </w:p>
    <w:p w14:paraId="38A81C09" w14:textId="77777777" w:rsidR="000640DE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KEY RISKS</w:t>
      </w:r>
    </w:p>
    <w:p w14:paraId="24485C1D" w14:textId="77777777" w:rsidR="000640DE" w:rsidRDefault="00000000">
      <w:pPr>
        <w:pStyle w:val="ListParagraph"/>
        <w:numPr>
          <w:ilvl w:val="0"/>
          <w:numId w:val="2"/>
        </w:numPr>
        <w:spacing w:before="40" w:after="40"/>
      </w:pPr>
      <w:r>
        <w:t>Margin pressure: Net income fell to just $32m on $13.2bn of revenue in FY2025, reflecting thin profitability. If cost inflation continues faster than revenue growth, earnings disappoint.</w:t>
      </w:r>
    </w:p>
    <w:p w14:paraId="07028C05" w14:textId="77777777" w:rsidR="000640DE" w:rsidRDefault="00000000">
      <w:pPr>
        <w:pStyle w:val="ListParagraph"/>
        <w:numPr>
          <w:ilvl w:val="0"/>
          <w:numId w:val="2"/>
        </w:numPr>
        <w:spacing w:before="40" w:after="40"/>
      </w:pPr>
      <w:r>
        <w:t>Amazon competition: Amazon's expanding logistics network could threaten GXO's enterprise contracts. Management is responding by targeting higher-value healthcare, defence, and aerospace verticals.</w:t>
      </w:r>
    </w:p>
    <w:p w14:paraId="07C25A3C" w14:textId="77777777" w:rsidR="000640DE" w:rsidRDefault="00000000">
      <w:pPr>
        <w:pStyle w:val="ListParagraph"/>
        <w:numPr>
          <w:ilvl w:val="0"/>
          <w:numId w:val="2"/>
        </w:numPr>
        <w:spacing w:before="40" w:after="40"/>
      </w:pPr>
      <w:r>
        <w:t>Wincanton integration risk: Acquisitions are operationally complex. If synergies take longer to materialise or integration costs overrun, the near-term earnings recovery thesis weakens.</w:t>
      </w:r>
    </w:p>
    <w:p w14:paraId="460C6F09" w14:textId="77777777" w:rsidR="000640DE" w:rsidRDefault="00000000">
      <w:pPr>
        <w:pStyle w:val="ListParagraph"/>
        <w:numPr>
          <w:ilvl w:val="0"/>
          <w:numId w:val="2"/>
        </w:numPr>
        <w:spacing w:before="40" w:after="40"/>
      </w:pPr>
      <w:r>
        <w:t>High financial leverage: GXO carries approximately $2.7bn in gross debt. A revenue slowdown or rising interest rates could pressure free cash flow.</w:t>
      </w:r>
    </w:p>
    <w:p w14:paraId="660C91CC" w14:textId="77777777" w:rsidR="000640DE" w:rsidRDefault="000640DE">
      <w:pPr>
        <w:spacing w:before="120" w:after="20"/>
      </w:pPr>
    </w:p>
    <w:p w14:paraId="0B421DAC" w14:textId="77777777" w:rsidR="000640DE" w:rsidRDefault="00000000">
      <w:pPr>
        <w:pBdr>
          <w:bottom w:val="single" w:sz="6" w:space="1" w:color="1F3864"/>
        </w:pBdr>
        <w:spacing w:before="240" w:after="120"/>
      </w:pPr>
      <w:r>
        <w:rPr>
          <w:b/>
          <w:bCs/>
          <w:color w:val="1F3864"/>
          <w:sz w:val="26"/>
          <w:szCs w:val="26"/>
        </w:rPr>
        <w:t>PERSONAL INVESTMENT ANGLE</w:t>
      </w:r>
    </w:p>
    <w:p w14:paraId="02790BCE" w14:textId="77777777" w:rsidR="000640DE" w:rsidRDefault="00000000">
      <w:pPr>
        <w:spacing w:before="60" w:after="60"/>
      </w:pPr>
      <w:r>
        <w:rPr>
          <w:color w:val="000000"/>
        </w:rPr>
        <w:t>My father operated a heavy trucking and logistics business in Egypt, alongside mining operations. I observed first-hand how operationally complex logistics is at scale — managing vehicle fleets, routes, fuel costs, driver productivity, and client relationships simultaneously. That experience gives me direct conviction in GXO's core value proposition: most companies are genuinely better off outsourcing logistics complexity to a specialist partner. GXO is that specialist at global scale. The inefficiencies I saw in logistics operations in Egypt illustrate exactly the gap that technology-enabled providers like GXO are built to close in more developed markets.</w:t>
      </w:r>
    </w:p>
    <w:p w14:paraId="78C699C7" w14:textId="77777777" w:rsidR="000640DE" w:rsidRDefault="000640DE">
      <w:pPr>
        <w:spacing w:before="120" w:after="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640DE" w14:paraId="50A67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064D1F" w14:textId="77777777" w:rsidR="000640D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RECOMMENDATION: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BUY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Target $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68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21%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Upside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12-Month Horizon</w:t>
            </w:r>
          </w:p>
          <w:p w14:paraId="6AC98955" w14:textId="77777777" w:rsidR="000640DE" w:rsidRDefault="00000000">
            <w:pPr>
              <w:spacing w:before="80"/>
              <w:jc w:val="center"/>
            </w:pPr>
            <w:r>
              <w:rPr>
                <w:color w:val="BDD7EE"/>
                <w:sz w:val="18"/>
                <w:szCs w:val="18"/>
              </w:rPr>
              <w:t>The current share price reflects excessive pessimism around short-term margin pressure. GXO's structural position as the dominant pure-play logistics outsourcer, combined with real AI-driven cost advantages, a $1bn+ new business pipeline, and Wincanton synergy upside, supports a re-rating to analyst consensus. Entry at current levels offers an attractive risk/reward.</w:t>
            </w:r>
          </w:p>
        </w:tc>
      </w:tr>
    </w:tbl>
    <w:p w14:paraId="1C5B0E17" w14:textId="77777777" w:rsidR="00643CA4" w:rsidRDefault="00643CA4"/>
    <w:sectPr w:rsidR="00643C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E01B0"/>
    <w:multiLevelType w:val="hybridMultilevel"/>
    <w:tmpl w:val="B902FFF6"/>
    <w:lvl w:ilvl="0" w:tplc="3BEA1304">
      <w:start w:val="1"/>
      <w:numFmt w:val="bullet"/>
      <w:lvlText w:val="•"/>
      <w:lvlJc w:val="left"/>
      <w:pPr>
        <w:ind w:left="720" w:hanging="360"/>
      </w:pPr>
    </w:lvl>
    <w:lvl w:ilvl="1" w:tplc="C3BC9B98">
      <w:numFmt w:val="decimal"/>
      <w:lvlText w:val=""/>
      <w:lvlJc w:val="left"/>
    </w:lvl>
    <w:lvl w:ilvl="2" w:tplc="87C07936">
      <w:numFmt w:val="decimal"/>
      <w:lvlText w:val=""/>
      <w:lvlJc w:val="left"/>
    </w:lvl>
    <w:lvl w:ilvl="3" w:tplc="A40E4734">
      <w:numFmt w:val="decimal"/>
      <w:lvlText w:val=""/>
      <w:lvlJc w:val="left"/>
    </w:lvl>
    <w:lvl w:ilvl="4" w:tplc="0A4EC36E">
      <w:numFmt w:val="decimal"/>
      <w:lvlText w:val=""/>
      <w:lvlJc w:val="left"/>
    </w:lvl>
    <w:lvl w:ilvl="5" w:tplc="DF24F924">
      <w:numFmt w:val="decimal"/>
      <w:lvlText w:val=""/>
      <w:lvlJc w:val="left"/>
    </w:lvl>
    <w:lvl w:ilvl="6" w:tplc="90B042C6">
      <w:numFmt w:val="decimal"/>
      <w:lvlText w:val=""/>
      <w:lvlJc w:val="left"/>
    </w:lvl>
    <w:lvl w:ilvl="7" w:tplc="F92E0DD4">
      <w:numFmt w:val="decimal"/>
      <w:lvlText w:val=""/>
      <w:lvlJc w:val="left"/>
    </w:lvl>
    <w:lvl w:ilvl="8" w:tplc="FE1ADFB0">
      <w:numFmt w:val="decimal"/>
      <w:lvlText w:val=""/>
      <w:lvlJc w:val="left"/>
    </w:lvl>
  </w:abstractNum>
  <w:abstractNum w:abstractNumId="1" w15:restartNumberingAfterBreak="0">
    <w:nsid w:val="63550DB5"/>
    <w:multiLevelType w:val="hybridMultilevel"/>
    <w:tmpl w:val="C684457E"/>
    <w:lvl w:ilvl="0" w:tplc="45C4FE06">
      <w:start w:val="1"/>
      <w:numFmt w:val="bullet"/>
      <w:lvlText w:val="●"/>
      <w:lvlJc w:val="left"/>
      <w:pPr>
        <w:ind w:left="720" w:hanging="360"/>
      </w:pPr>
    </w:lvl>
    <w:lvl w:ilvl="1" w:tplc="CE5C1548">
      <w:start w:val="1"/>
      <w:numFmt w:val="bullet"/>
      <w:lvlText w:val="○"/>
      <w:lvlJc w:val="left"/>
      <w:pPr>
        <w:ind w:left="1440" w:hanging="360"/>
      </w:pPr>
    </w:lvl>
    <w:lvl w:ilvl="2" w:tplc="EEB42D7E">
      <w:start w:val="1"/>
      <w:numFmt w:val="bullet"/>
      <w:lvlText w:val="■"/>
      <w:lvlJc w:val="left"/>
      <w:pPr>
        <w:ind w:left="2160" w:hanging="360"/>
      </w:pPr>
    </w:lvl>
    <w:lvl w:ilvl="3" w:tplc="C81678B6">
      <w:start w:val="1"/>
      <w:numFmt w:val="bullet"/>
      <w:lvlText w:val="●"/>
      <w:lvlJc w:val="left"/>
      <w:pPr>
        <w:ind w:left="2880" w:hanging="360"/>
      </w:pPr>
    </w:lvl>
    <w:lvl w:ilvl="4" w:tplc="3F12F85C">
      <w:start w:val="1"/>
      <w:numFmt w:val="bullet"/>
      <w:lvlText w:val="○"/>
      <w:lvlJc w:val="left"/>
      <w:pPr>
        <w:ind w:left="3600" w:hanging="360"/>
      </w:pPr>
    </w:lvl>
    <w:lvl w:ilvl="5" w:tplc="7924EBD2">
      <w:start w:val="1"/>
      <w:numFmt w:val="bullet"/>
      <w:lvlText w:val="■"/>
      <w:lvlJc w:val="left"/>
      <w:pPr>
        <w:ind w:left="4320" w:hanging="360"/>
      </w:pPr>
    </w:lvl>
    <w:lvl w:ilvl="6" w:tplc="92E252BC">
      <w:start w:val="1"/>
      <w:numFmt w:val="bullet"/>
      <w:lvlText w:val="●"/>
      <w:lvlJc w:val="left"/>
      <w:pPr>
        <w:ind w:left="5040" w:hanging="360"/>
      </w:pPr>
    </w:lvl>
    <w:lvl w:ilvl="7" w:tplc="772C4964">
      <w:start w:val="1"/>
      <w:numFmt w:val="bullet"/>
      <w:lvlText w:val="●"/>
      <w:lvlJc w:val="left"/>
      <w:pPr>
        <w:ind w:left="5760" w:hanging="360"/>
      </w:pPr>
    </w:lvl>
    <w:lvl w:ilvl="8" w:tplc="F408998E">
      <w:start w:val="1"/>
      <w:numFmt w:val="bullet"/>
      <w:lvlText w:val="●"/>
      <w:lvlJc w:val="left"/>
      <w:pPr>
        <w:ind w:left="6480" w:hanging="360"/>
      </w:pPr>
    </w:lvl>
  </w:abstractNum>
  <w:num w:numId="1" w16cid:durableId="396132188">
    <w:abstractNumId w:val="1"/>
    <w:lvlOverride w:ilvl="0">
      <w:startOverride w:val="1"/>
    </w:lvlOverride>
  </w:num>
  <w:num w:numId="2" w16cid:durableId="1640377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DE"/>
    <w:rsid w:val="000640DE"/>
    <w:rsid w:val="001F1279"/>
    <w:rsid w:val="00643CA4"/>
    <w:rsid w:val="00D05B5E"/>
    <w:rsid w:val="00D1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8075"/>
  <w15:docId w15:val="{108F06F3-583A-42F9-BCF0-D4642DE0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osam</cp:lastModifiedBy>
  <cp:revision>2</cp:revision>
  <dcterms:created xsi:type="dcterms:W3CDTF">2026-06-01T17:11:00Z</dcterms:created>
  <dcterms:modified xsi:type="dcterms:W3CDTF">2026-06-01T17:11:00Z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dd3c8bed-3c9c-418d-941c-3653e885d557</vt:lpwstr>
  </property>
</Properties>
</file>