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8B0000"/>
          <w:sz w:val="28"/>
        </w:rPr>
        <w:t>CAHIER DES CHARGES</w:t>
      </w:r>
    </w:p>
    <w:p>
      <w:pPr>
        <w:jc w:val="center"/>
      </w:pPr>
      <w:r>
        <w:rPr>
          <w:color w:val="1B3A5C"/>
        </w:rPr>
        <w:t>━━━━━━━━━━━━━━━━━━━━━━━━━━━━━━━━━━━━━━━━</w:t>
      </w:r>
    </w:p>
    <w:p>
      <w:pPr>
        <w:jc w:val="center"/>
      </w:pPr>
      <w:r>
        <w:rPr>
          <w:b/>
          <w:color w:val="1B3A5C"/>
          <w:sz w:val="52"/>
        </w:rPr>
        <w:t>FactuPro — Facturation simplifiée pour PME</w:t>
      </w:r>
    </w:p>
    <w:p>
      <w:pPr>
        <w:jc w:val="center"/>
      </w:pPr>
      <w:r>
        <w:rPr>
          <w:color w:val="555555"/>
          <w:sz w:val="28"/>
        </w:rPr>
        <w:t>Cahier des Charges Fonctionnel</w:t>
        <w:br/>
        <w:t>Solution SaaS — Marché camerounais</w:t>
      </w:r>
    </w:p>
    <w:p>
      <w:pPr>
        <w:jc w:val="center"/>
      </w:pPr>
      <w:r>
        <w:rPr>
          <w:color w:val="1B3A5C"/>
        </w:rPr>
        <w:t>━━━━━━━━━━━━━━━━━━━━━━━━━━━━━━━━━━━━━━━━</w:t>
      </w:r>
    </w:p>
    <w:p/>
    <w:p/>
    <w:p/>
    <w:p>
      <w:pPr>
        <w:jc w:val="center"/>
      </w:pPr>
      <w:r>
        <w:rPr>
          <w:color w:val="555555"/>
          <w:sz w:val="22"/>
        </w:rPr>
        <w:t>Date : 09/08/2026</w:t>
      </w:r>
    </w:p>
    <w:p>
      <w:pPr>
        <w:jc w:val="center"/>
      </w:pPr>
      <w:r>
        <w:rPr>
          <w:i/>
          <w:color w:val="8B0000"/>
          <w:sz w:val="20"/>
        </w:rPr>
        <w:t>CONFIDENTIEL — Usage interne uniquement</w:t>
      </w:r>
    </w:p>
    <w:p>
      <w:r>
        <w:br w:type="page"/>
      </w:r>
    </w:p>
    <w:p>
      <w:pPr>
        <w:spacing w:before="240"/>
      </w:pPr>
      <w:r>
        <w:rPr>
          <w:color w:val="1B3A5C"/>
          <w:sz w:val="16"/>
        </w:rPr>
        <w:t>━━━━━━━━━━━━━━━━━━━━━━━━━━━━━━━━━━━━━━━━━━━━━━━━━━</w:t>
      </w:r>
    </w:p>
    <w:p>
      <w:pPr>
        <w:pStyle w:val="Heading2"/>
      </w:pPr>
      <w:r>
        <w:rPr>
          <w:color w:val="1B3A5C"/>
        </w:rPr>
        <w:t>1. CONTEXTE ET PROBLÉMATIQUE</w:t>
      </w:r>
    </w:p>
    <w:p>
      <w:r>
        <w:rPr>
          <w:b/>
          <w:sz w:val="22"/>
        </w:rPr>
        <w:t>1.1 Présentation du projet</w:t>
      </w:r>
    </w:p>
    <w:p>
      <w:r>
        <w:t>Le présent cahier des charges définit les spécifications fonctionnelles de la solution SaaS « FactuPro — Facturation simplifiée pour PME », une application web/cloud conçue pour répondre à un problème concret sur le marché camerounais.</w:t>
      </w:r>
    </w:p>
    <w:p>
      <w:r>
        <w:rPr>
          <w:b/>
          <w:sz w:val="22"/>
        </w:rPr>
        <w:t>1.2 Problématique identifiée</w:t>
      </w:r>
    </w:p>
    <w:p>
      <w:r>
        <w:t>Les PME au Cameroun gèrent leurs factures et devis sur papier, dans des cahiers ou sur Excel. Les factures se perdent, les délais de paiement s'allongent, les relances sont manuelles et il n'y a aucune vision consolidée du chiffre d'affaires.</w:t>
      </w:r>
    </w:p>
    <w:p>
      <w:r>
        <w:rPr>
          <w:b/>
          <w:sz w:val="22"/>
        </w:rPr>
        <w:t>1.3 Public cible</w:t>
      </w:r>
    </w:p>
    <w:p>
      <w:pPr>
        <w:pStyle w:val="ListBullet"/>
      </w:pPr>
      <w:r>
        <w:rPr>
          <w:sz w:val="20"/>
        </w:rPr>
        <w:t>PME de toutes tailles (commerce, services, artisanat)</w:t>
      </w:r>
    </w:p>
    <w:p>
      <w:pPr>
        <w:pStyle w:val="ListBullet"/>
      </w:pPr>
      <w:r>
        <w:rPr>
          <w:sz w:val="20"/>
        </w:rPr>
        <w:t>Freelances et indépendants</w:t>
      </w:r>
    </w:p>
    <w:p>
      <w:pPr>
        <w:pStyle w:val="ListBullet"/>
      </w:pPr>
      <w:r>
        <w:rPr>
          <w:sz w:val="20"/>
        </w:rPr>
        <w:t>Prestataires de services (plombiers, électriciens, informaticiens, etc.)</w:t>
      </w:r>
    </w:p>
    <w:p>
      <w:pPr>
        <w:pStyle w:val="ListBullet"/>
      </w:pPr>
      <w:r>
        <w:rPr>
          <w:sz w:val="20"/>
        </w:rPr>
        <w:t>Commerçants en ligne</w:t>
      </w:r>
    </w:p>
    <w:p>
      <w:pPr>
        <w:spacing w:before="240"/>
      </w:pPr>
      <w:r>
        <w:rPr>
          <w:color w:val="1B3A5C"/>
          <w:sz w:val="16"/>
        </w:rPr>
        <w:t>━━━━━━━━━━━━━━━━━━━━━━━━━━━━━━━━━━━━━━━━━━━━━━━━━━</w:t>
      </w:r>
    </w:p>
    <w:p>
      <w:pPr>
        <w:pStyle w:val="Heading2"/>
      </w:pPr>
      <w:r>
        <w:rPr>
          <w:color w:val="1B3A5C"/>
        </w:rPr>
        <w:t>2. DESCRIPTION DE LA SOLUTION</w:t>
      </w:r>
    </w:p>
    <w:p>
      <w:r>
        <w:rPr>
          <w:b/>
          <w:sz w:val="22"/>
        </w:rPr>
        <w:t>2.1 Vision générale</w:t>
      </w:r>
    </w:p>
    <w:p>
      <w:r>
        <w:t>Générateur automatique de devis et factures (export PDF professionnels), gestion de fichier client, suivi des paiements et relances automatiques.</w:t>
      </w:r>
    </w:p>
    <w:p>
      <w:r>
        <w:rPr>
          <w:b/>
          <w:sz w:val="22"/>
        </w:rPr>
        <w:t>2.2 Fonctionnalités principales</w:t>
      </w:r>
    </w:p>
    <w:p>
      <w:pPr>
        <w:pStyle w:val="ListBullet"/>
      </w:pPr>
      <w:r>
        <w:rPr>
          <w:sz w:val="20"/>
        </w:rPr>
        <w:t>Création de devis et factures en quelques clics</w:t>
      </w:r>
    </w:p>
    <w:p>
      <w:pPr>
        <w:pStyle w:val="ListBullet"/>
      </w:pPr>
      <w:r>
        <w:rPr>
          <w:sz w:val="20"/>
        </w:rPr>
        <w:t>Templates professionnels personnalisables (logo, couleurs, mentions légales)</w:t>
      </w:r>
    </w:p>
    <w:p>
      <w:pPr>
        <w:pStyle w:val="ListBullet"/>
      </w:pPr>
      <w:r>
        <w:rPr>
          <w:sz w:val="20"/>
        </w:rPr>
        <w:t>Export PDF haute qualité avec numéro de facture automatique</w:t>
      </w:r>
    </w:p>
    <w:p>
      <w:pPr>
        <w:pStyle w:val="ListBullet"/>
      </w:pPr>
      <w:r>
        <w:rPr>
          <w:sz w:val="20"/>
        </w:rPr>
        <w:t>Gestion de fichier client (coordonnées, historique)</w:t>
      </w:r>
    </w:p>
    <w:p>
      <w:pPr>
        <w:pStyle w:val="ListBullet"/>
      </w:pPr>
      <w:r>
        <w:rPr>
          <w:sz w:val="20"/>
        </w:rPr>
        <w:t>Suivi des statuts : brouillon → envoyée → payée → en retard</w:t>
      </w:r>
    </w:p>
    <w:p>
      <w:pPr>
        <w:pStyle w:val="ListBullet"/>
      </w:pPr>
      <w:r>
        <w:rPr>
          <w:sz w:val="20"/>
        </w:rPr>
        <w:t>Relances automatiques pour factures impayées (SMS/Email)</w:t>
      </w:r>
    </w:p>
    <w:p>
      <w:pPr>
        <w:pStyle w:val="ListBullet"/>
      </w:pPr>
      <w:r>
        <w:rPr>
          <w:sz w:val="20"/>
        </w:rPr>
        <w:t>Suivi des paiements (total reçu, reste à payer)</w:t>
      </w:r>
    </w:p>
    <w:p>
      <w:pPr>
        <w:pStyle w:val="ListBullet"/>
      </w:pPr>
      <w:r>
        <w:rPr>
          <w:sz w:val="20"/>
        </w:rPr>
        <w:t>Tableau de bord : CA mensuel, factures en attente, impayés</w:t>
      </w:r>
    </w:p>
    <w:p>
      <w:pPr>
        <w:pStyle w:val="ListBullet"/>
      </w:pPr>
      <w:r>
        <w:rPr>
          <w:sz w:val="20"/>
        </w:rPr>
        <w:t>Export comptable (Excel) pour le comptable ou le fisc</w:t>
      </w:r>
    </w:p>
    <w:p>
      <w:pPr>
        <w:pStyle w:val="ListBullet"/>
      </w:pPr>
      <w:r>
        <w:rPr>
          <w:sz w:val="20"/>
        </w:rPr>
        <w:t>Multi-utilisateurs avec droits d'accès</w:t>
      </w:r>
    </w:p>
    <w:p>
      <w:pPr>
        <w:spacing w:before="240"/>
      </w:pPr>
      <w:r>
        <w:rPr>
          <w:color w:val="1B3A5C"/>
          <w:sz w:val="16"/>
        </w:rPr>
        <w:t>━━━━━━━━━━━━━━━━━━━━━━━━━━━━━━━━━━━━━━━━━━━━━━━━━━</w:t>
      </w:r>
    </w:p>
    <w:p>
      <w:pPr>
        <w:pStyle w:val="Heading2"/>
      </w:pPr>
      <w:r>
        <w:rPr>
          <w:color w:val="1B3A5C"/>
        </w:rPr>
        <w:t>3. EXIGENCES TECHNIQUES</w:t>
      </w:r>
    </w:p>
    <w:p>
      <w:r>
        <w:rPr>
          <w:b/>
          <w:sz w:val="22"/>
        </w:rPr>
        <w:t>3.1 Stack technique recommandée</w:t>
      </w:r>
    </w:p>
    <w:p>
      <w:r>
        <w:t>Next.js (frontend), Node.js/Express (backend), PostgreSQL (base), Puppeteer (génération PDF), Redis (cache), Vercel (frontend), Railway/VPS (backend).</w:t>
      </w:r>
    </w:p>
    <w:p>
      <w:r>
        <w:rPr>
          <w:b/>
          <w:sz w:val="22"/>
        </w:rPr>
        <w:t>3.2 Architecture</w:t>
      </w:r>
    </w:p>
    <w:p>
      <w:pPr>
        <w:pStyle w:val="ListBullet"/>
      </w:pPr>
      <w:r>
        <w:rPr>
          <w:sz w:val="20"/>
        </w:rPr>
        <w:t>Architecture cloud (SaaS multi-tenant)</w:t>
      </w:r>
    </w:p>
    <w:p>
      <w:pPr>
        <w:pStyle w:val="ListBullet"/>
      </w:pPr>
      <w:r>
        <w:rPr>
          <w:sz w:val="20"/>
        </w:rPr>
        <w:t>API RESTful pour l'intégration avec des services tiers</w:t>
      </w:r>
    </w:p>
    <w:p>
      <w:pPr>
        <w:pStyle w:val="ListBullet"/>
      </w:pPr>
      <w:r>
        <w:rPr>
          <w:sz w:val="20"/>
        </w:rPr>
        <w:t>Base de données relationnelle (PostgreSQL recommandé)</w:t>
      </w:r>
    </w:p>
    <w:p>
      <w:pPr>
        <w:pStyle w:val="ListBullet"/>
      </w:pPr>
      <w:r>
        <w:rPr>
          <w:sz w:val="20"/>
        </w:rPr>
        <w:t>Cache Redis pour les performances</w:t>
      </w:r>
    </w:p>
    <w:p>
      <w:pPr>
        <w:pStyle w:val="ListBullet"/>
      </w:pPr>
      <w:r>
        <w:rPr>
          <w:sz w:val="20"/>
        </w:rPr>
        <w:t>Conteneurisation Docker pour le déploiement</w:t>
      </w:r>
    </w:p>
    <w:p>
      <w:pPr>
        <w:pStyle w:val="ListBullet"/>
      </w:pPr>
      <w:r>
        <w:rPr>
          <w:sz w:val="20"/>
        </w:rPr>
        <w:t>CI/CD pour les mises à jour continues</w:t>
      </w:r>
    </w:p>
    <w:p>
      <w:pPr>
        <w:pStyle w:val="ListBullet"/>
      </w:pPr>
      <w:r>
        <w:rPr>
          <w:sz w:val="20"/>
        </w:rPr>
        <w:t>Sauvegardes automatiques quotidiennes</w:t>
      </w:r>
    </w:p>
    <w:p>
      <w:pPr>
        <w:pStyle w:val="ListBullet"/>
      </w:pPr>
      <w:r>
        <w:rPr>
          <w:sz w:val="20"/>
        </w:rPr>
        <w:t>Certificat SSL obligatoire (sécurité)</w:t>
      </w:r>
    </w:p>
    <w:p>
      <w:pPr>
        <w:spacing w:before="240"/>
      </w:pPr>
      <w:r>
        <w:rPr>
          <w:color w:val="1B3A5C"/>
          <w:sz w:val="16"/>
        </w:rPr>
        <w:t>━━━━━━━━━━━━━━━━━━━━━━━━━━━━━━━━━━━━━━━━━━━━━━━━━━</w:t>
      </w:r>
    </w:p>
    <w:p>
      <w:pPr>
        <w:pStyle w:val="Heading2"/>
      </w:pPr>
      <w:r>
        <w:rPr>
          <w:color w:val="1B3A5C"/>
        </w:rPr>
        <w:t>4. EXIGENCES NON-FONCTIONNELLES</w:t>
      </w:r>
    </w:p>
    <w:p>
      <w:pPr>
        <w:pStyle w:val="ListBullet"/>
      </w:pPr>
      <w:r>
        <w:rPr>
          <w:sz w:val="20"/>
        </w:rPr>
        <w:t>Performance : temps de réponse &lt; 2 secondes pour les pages principales</w:t>
      </w:r>
    </w:p>
    <w:p>
      <w:pPr>
        <w:pStyle w:val="ListBullet"/>
      </w:pPr>
      <w:r>
        <w:rPr>
          <w:sz w:val="20"/>
        </w:rPr>
        <w:t>Disponibilité : 99,5% minimum (SLA)</w:t>
      </w:r>
    </w:p>
    <w:p>
      <w:pPr>
        <w:pStyle w:val="ListBullet"/>
      </w:pPr>
      <w:r>
        <w:rPr>
          <w:sz w:val="20"/>
        </w:rPr>
        <w:t>Sécurité : chiffrement des données sensibles, authentification JWT</w:t>
      </w:r>
    </w:p>
    <w:p>
      <w:pPr>
        <w:pStyle w:val="ListBullet"/>
      </w:pPr>
      <w:r>
        <w:rPr>
          <w:sz w:val="20"/>
        </w:rPr>
        <w:t>Scalabilité : architecture capable de supporter 10x la charge initiale</w:t>
      </w:r>
    </w:p>
    <w:p>
      <w:pPr>
        <w:pStyle w:val="ListBullet"/>
      </w:pPr>
      <w:r>
        <w:rPr>
          <w:sz w:val="20"/>
        </w:rPr>
        <w:t>Accessibilité : responsive design (mobile, tablette, desktop)</w:t>
      </w:r>
    </w:p>
    <w:p>
      <w:pPr>
        <w:pStyle w:val="ListBullet"/>
      </w:pPr>
      <w:r>
        <w:rPr>
          <w:sz w:val="20"/>
        </w:rPr>
        <w:t>Hors-ligne : mode dégradé pour les zones à connectivité instable</w:t>
      </w:r>
    </w:p>
    <w:p>
      <w:pPr>
        <w:pStyle w:val="ListBullet"/>
      </w:pPr>
      <w:r>
        <w:rPr>
          <w:sz w:val="20"/>
        </w:rPr>
        <w:t>Multilingue : français (prioritaire), anglais (optionnel)</w:t>
      </w:r>
    </w:p>
    <w:p>
      <w:pPr>
        <w:pStyle w:val="ListBullet"/>
      </w:pPr>
      <w:r>
        <w:rPr>
          <w:sz w:val="20"/>
        </w:rPr>
        <w:t>Notifications : SMS (principal), WhatsApp (secondaire), Email (tertiaire)</w:t>
      </w:r>
    </w:p>
    <w:p>
      <w:pPr>
        <w:spacing w:before="240"/>
      </w:pPr>
      <w:r>
        <w:rPr>
          <w:color w:val="1B3A5C"/>
          <w:sz w:val="16"/>
        </w:rPr>
        <w:t>━━━━━━━━━━━━━━━━━━━━━━━━━━━━━━━━━━━━━━━━━━━━━━━━━━</w:t>
      </w:r>
    </w:p>
    <w:p>
      <w:pPr>
        <w:pStyle w:val="Heading2"/>
      </w:pPr>
      <w:r>
        <w:rPr>
          <w:color w:val="1B3A5C"/>
        </w:rPr>
        <w:t>5. LIVRABLES ATTENDUS</w:t>
      </w:r>
    </w:p>
    <w:p>
      <w:pPr>
        <w:pStyle w:val="ListBullet"/>
      </w:pPr>
      <w:r>
        <w:rPr>
          <w:sz w:val="20"/>
        </w:rPr>
        <w:t>Application web responsive (mobile-first)</w:t>
      </w:r>
    </w:p>
    <w:p>
      <w:pPr>
        <w:pStyle w:val="ListBullet"/>
      </w:pPr>
      <w:r>
        <w:rPr>
          <w:sz w:val="20"/>
        </w:rPr>
        <w:t>Dashboard administrateur avec tableau de bord complet</w:t>
      </w:r>
    </w:p>
    <w:p>
      <w:pPr>
        <w:pStyle w:val="ListBullet"/>
      </w:pPr>
      <w:r>
        <w:rPr>
          <w:sz w:val="20"/>
        </w:rPr>
        <w:t>API REST documentée (Swagger/OpenAPI)</w:t>
      </w:r>
    </w:p>
    <w:p>
      <w:pPr>
        <w:pStyle w:val="ListBullet"/>
      </w:pPr>
      <w:r>
        <w:rPr>
          <w:sz w:val="20"/>
        </w:rPr>
        <w:t>Base de données structurée et documentée</w:t>
      </w:r>
    </w:p>
    <w:p>
      <w:pPr>
        <w:pStyle w:val="ListBullet"/>
      </w:pPr>
      <w:r>
        <w:rPr>
          <w:sz w:val="20"/>
        </w:rPr>
        <w:t>Guide utilisateur (manuel d'utilisation)</w:t>
      </w:r>
    </w:p>
    <w:p>
      <w:pPr>
        <w:pStyle w:val="ListBullet"/>
      </w:pPr>
      <w:r>
        <w:rPr>
          <w:sz w:val="20"/>
        </w:rPr>
        <w:t>Documentation technique (architecture, déploiement)</w:t>
      </w:r>
    </w:p>
    <w:p>
      <w:pPr>
        <w:pStyle w:val="ListBullet"/>
      </w:pPr>
      <w:r>
        <w:rPr>
          <w:sz w:val="20"/>
        </w:rPr>
        <w:t>Tests unitaires et d'intégration</w:t>
      </w:r>
    </w:p>
    <w:p>
      <w:pPr>
        <w:pStyle w:val="ListBullet"/>
      </w:pPr>
      <w:r>
        <w:rPr>
          <w:sz w:val="20"/>
        </w:rPr>
        <w:t>Déploiement en production avec monitoring</w:t>
      </w:r>
    </w:p>
    <w:p>
      <w:pPr>
        <w:spacing w:before="240"/>
      </w:pPr>
      <w:r>
        <w:rPr>
          <w:color w:val="1B3A5C"/>
          <w:sz w:val="16"/>
        </w:rPr>
        <w:t>━━━━━━━━━━━━━━━━━━━━━━━━━━━━━━━━━━━━━━━━━━━━━━━━━━</w:t>
      </w:r>
    </w:p>
    <w:p>
      <w:pPr>
        <w:pStyle w:val="Heading2"/>
      </w:pPr>
      <w:r>
        <w:rPr>
          <w:color w:val="1B3A5C"/>
        </w:rPr>
        <w:t>6. FAISABILITÉ ET ESTIMATION</w:t>
      </w:r>
    </w:p>
    <w:tbl>
      <w:tblPr>
        <w:tblStyle w:val="TableGrid"/>
        <w:tblW w:type="auto" w:w="0"/>
        <w:jc w:val="center"/>
        <w:tblLook w:firstColumn="1" w:firstRow="1" w:lastColumn="0" w:lastRow="0" w:noHBand="0" w:noVBand="1" w:val="04A0"/>
      </w:tblPr>
      <w:tblGrid>
        <w:gridCol w:w="4320"/>
        <w:gridCol w:w="4320"/>
      </w:tblGrid>
      <w:tr>
        <w:tc>
          <w:tcPr>
            <w:tcW w:type="dxa" w:w="2835"/>
            <w:shd w:fill="1B3A5C" w:val="clear"/>
          </w:tcPr>
          <w:p>
            <w:r>
              <w:rPr>
                <w:b/>
                <w:color w:val="FFFFFF"/>
                <w:sz w:val="20"/>
              </w:rPr>
              <w:t>Faisabilité technique</w:t>
            </w:r>
          </w:p>
        </w:tc>
        <w:tc>
          <w:tcPr>
            <w:tcW w:type="dxa" w:w="6803"/>
          </w:tcPr>
          <w:p>
            <w:r>
              <w:rPr>
                <w:sz w:val="20"/>
              </w:rPr>
              <w:t>Très élevée. C'est le MVP le plus simple et le plus urgent de la liste. Un générateur de factures PDF avec base clients est un CRUD classique. Le produit peut être lancé en 2-3 semaines et validé immédiatement.</w:t>
            </w:r>
          </w:p>
        </w:tc>
      </w:tr>
      <w:tr>
        <w:tc>
          <w:tcPr>
            <w:tcW w:type="dxa" w:w="2835"/>
            <w:shd w:fill="1B3A5C" w:val="clear"/>
          </w:tcPr>
          <w:p>
            <w:r>
              <w:rPr>
                <w:b/>
                <w:color w:val="FFFFFF"/>
                <w:sz w:val="20"/>
              </w:rPr>
              <w:t>Coût de développement (MVP)</w:t>
            </w:r>
          </w:p>
        </w:tc>
        <w:tc>
          <w:tcPr>
            <w:tcW w:type="dxa" w:w="6803"/>
          </w:tcPr>
          <w:p>
            <w:r>
              <w:rPr>
                <w:sz w:val="20"/>
              </w:rPr>
              <w:t>1 000 000 — 2 000 000 FCFA (MVP). Le plus rapide et le moins cher.</w:t>
            </w:r>
          </w:p>
        </w:tc>
      </w:tr>
      <w:tr>
        <w:tc>
          <w:tcPr>
            <w:tcW w:type="dxa" w:w="2835"/>
            <w:shd w:fill="1B3A5C" w:val="clear"/>
          </w:tcPr>
          <w:p>
            <w:r>
              <w:rPr>
                <w:b/>
                <w:color w:val="FFFFFF"/>
                <w:sz w:val="20"/>
              </w:rPr>
              <w:t>Coût mensuel infrastructure</w:t>
            </w:r>
          </w:p>
        </w:tc>
        <w:tc>
          <w:tcPr>
            <w:tcW w:type="dxa" w:w="6803"/>
          </w:tcPr>
          <w:p>
            <w:r>
              <w:rPr>
                <w:sz w:val="20"/>
              </w:rPr>
              <w:t>10 000 — 20 000 FCFA/mois</w:t>
            </w:r>
          </w:p>
        </w:tc>
      </w:tr>
      <w:tr>
        <w:tc>
          <w:tcPr>
            <w:tcW w:type="dxa" w:w="2835"/>
            <w:shd w:fill="1B3A5C" w:val="clear"/>
          </w:tcPr>
          <w:p>
            <w:r>
              <w:rPr>
                <w:b/>
                <w:color w:val="FFFFFF"/>
                <w:sz w:val="20"/>
              </w:rPr>
              <w:t>Délai MVP</w:t>
            </w:r>
          </w:p>
        </w:tc>
        <w:tc>
          <w:tcPr>
            <w:tcW w:type="dxa" w:w="6803"/>
          </w:tcPr>
          <w:p>
            <w:r>
              <w:rPr>
                <w:sz w:val="20"/>
              </w:rPr>
              <w:t>2 à 3 semaines</w:t>
            </w:r>
          </w:p>
        </w:tc>
      </w:tr>
      <w:tr>
        <w:tc>
          <w:tcPr>
            <w:tcW w:type="dxa" w:w="2835"/>
            <w:shd w:fill="1B3A5C" w:val="clear"/>
          </w:tcPr>
          <w:p>
            <w:r>
              <w:rPr>
                <w:b/>
                <w:color w:val="FFFFFF"/>
                <w:sz w:val="20"/>
              </w:rPr>
              <w:t>Risques majeurs</w:t>
            </w:r>
          </w:p>
        </w:tc>
        <w:tc>
          <w:tcPr>
            <w:tcW w:type="dxa" w:w="6803"/>
          </w:tcPr>
          <w:p>
            <w:r>
              <w:rPr>
                <w:sz w:val="20"/>
              </w:rPr>
              <w:t>• Les PME paient peu pour les outils de facturation</w:t>
              <w:br/>
              <w:t>• Concurrence des solutions gratuites (Wave, Zoho free tier)</w:t>
              <w:br/>
              <w:t>• Nécessite de prouver la valeur rapidement</w:t>
              <w:br/>
              <w:t>• Les freelances peuvent être des utilisateurs à faible valeur</w:t>
            </w:r>
          </w:p>
        </w:tc>
      </w:tr>
    </w:tbl>
    <w:p/>
    <w:p>
      <w:pPr>
        <w:spacing w:before="240"/>
      </w:pPr>
      <w:r>
        <w:rPr>
          <w:color w:val="1B3A5C"/>
          <w:sz w:val="16"/>
        </w:rPr>
        <w:t>━━━━━━━━━━━━━━━━━━━━━━━━━━━━━━━━━━━━━━━━━━━━━━━━━━</w:t>
      </w:r>
    </w:p>
    <w:p>
      <w:pPr>
        <w:pStyle w:val="Heading2"/>
      </w:pPr>
      <w:r>
        <w:rPr>
          <w:color w:val="1B3A5C"/>
        </w:rPr>
        <w:t>7. PLANNING PRÉVISIONNEL</w:t>
      </w:r>
    </w:p>
    <w:tbl>
      <w:tblPr>
        <w:tblStyle w:val="TableGrid"/>
        <w:tblW w:type="auto" w:w="0"/>
        <w:tblLook w:firstColumn="1" w:firstRow="1" w:lastColumn="0" w:lastRow="0" w:noHBand="0" w:noVBand="1" w:val="04A0"/>
      </w:tblPr>
      <w:tblGrid>
        <w:gridCol w:w="2880"/>
        <w:gridCol w:w="2880"/>
        <w:gridCol w:w="2880"/>
      </w:tblGrid>
      <w:tr>
        <w:tc>
          <w:tcPr>
            <w:tcW w:type="dxa" w:w="2880"/>
            <w:shd w:fill="1B3A5C" w:val="clear"/>
          </w:tcPr>
          <w:p>
            <w:r>
              <w:rPr>
                <w:b/>
                <w:color w:val="FFFFFF"/>
                <w:sz w:val="20"/>
              </w:rPr>
              <w:t>Phase</w:t>
            </w:r>
          </w:p>
        </w:tc>
        <w:tc>
          <w:tcPr>
            <w:tcW w:type="dxa" w:w="2880"/>
            <w:shd w:fill="1B3A5C" w:val="clear"/>
          </w:tcPr>
          <w:p>
            <w:r>
              <w:rPr>
                <w:b/>
                <w:color w:val="FFFFFF"/>
                <w:sz w:val="20"/>
              </w:rPr>
              <w:t>Durée</w:t>
            </w:r>
          </w:p>
        </w:tc>
        <w:tc>
          <w:tcPr>
            <w:tcW w:type="dxa" w:w="2880"/>
            <w:shd w:fill="1B3A5C" w:val="clear"/>
          </w:tcPr>
          <w:p>
            <w:r>
              <w:rPr>
                <w:b/>
                <w:color w:val="FFFFFF"/>
                <w:sz w:val="20"/>
              </w:rPr>
              <w:t>Description</w:t>
            </w:r>
          </w:p>
        </w:tc>
      </w:tr>
      <w:tr>
        <w:tc>
          <w:tcPr>
            <w:tcW w:type="dxa" w:w="2880"/>
          </w:tcPr>
          <w:p>
            <w:r>
              <w:rPr>
                <w:sz w:val="18"/>
              </w:rPr>
              <w:t>Phase 1 — Analyse &amp; Conception</w:t>
            </w:r>
          </w:p>
        </w:tc>
        <w:tc>
          <w:tcPr>
            <w:tcW w:type="dxa" w:w="2880"/>
          </w:tcPr>
          <w:p>
            <w:r>
              <w:rPr>
                <w:sz w:val="18"/>
              </w:rPr>
              <w:t>2 semaines</w:t>
            </w:r>
          </w:p>
        </w:tc>
        <w:tc>
          <w:tcPr>
            <w:tcW w:type="dxa" w:w="2880"/>
          </w:tcPr>
          <w:p>
            <w:r>
              <w:rPr>
                <w:sz w:val="18"/>
              </w:rPr>
              <w:t>Cadrage fonctionnel, maquettes UX, architecture technique</w:t>
            </w:r>
          </w:p>
        </w:tc>
      </w:tr>
      <w:tr>
        <w:tc>
          <w:tcPr>
            <w:tcW w:type="dxa" w:w="2880"/>
          </w:tcPr>
          <w:p>
            <w:r>
              <w:rPr>
                <w:sz w:val="18"/>
              </w:rPr>
              <w:t>Phase 2 — Développement MVP</w:t>
            </w:r>
          </w:p>
        </w:tc>
        <w:tc>
          <w:tcPr>
            <w:tcW w:type="dxa" w:w="2880"/>
          </w:tcPr>
          <w:p>
            <w:r>
              <w:rPr>
                <w:sz w:val="18"/>
              </w:rPr>
              <w:t>4-6 semaines</w:t>
            </w:r>
          </w:p>
        </w:tc>
        <w:tc>
          <w:tcPr>
            <w:tcW w:type="dxa" w:w="2880"/>
          </w:tcPr>
          <w:p>
            <w:r>
              <w:rPr>
                <w:sz w:val="18"/>
              </w:rPr>
              <w:t>Développement des fonctionnalités core, intégration paiement</w:t>
            </w:r>
          </w:p>
        </w:tc>
      </w:tr>
      <w:tr>
        <w:tc>
          <w:tcPr>
            <w:tcW w:type="dxa" w:w="2880"/>
          </w:tcPr>
          <w:p>
            <w:r>
              <w:rPr>
                <w:sz w:val="18"/>
              </w:rPr>
              <w:t>Phase 3 — Tests &amp; Validation</w:t>
            </w:r>
          </w:p>
        </w:tc>
        <w:tc>
          <w:tcPr>
            <w:tcW w:type="dxa" w:w="2880"/>
          </w:tcPr>
          <w:p>
            <w:r>
              <w:rPr>
                <w:sz w:val="18"/>
              </w:rPr>
              <w:t>1-2 semaines</w:t>
            </w:r>
          </w:p>
        </w:tc>
        <w:tc>
          <w:tcPr>
            <w:tcW w:type="dxa" w:w="2880"/>
          </w:tcPr>
          <w:p>
            <w:r>
              <w:rPr>
                <w:sz w:val="18"/>
              </w:rPr>
              <w:t>Tests fonctionnels, tests utilisateurs, corrections</w:t>
            </w:r>
          </w:p>
        </w:tc>
      </w:tr>
      <w:tr>
        <w:tc>
          <w:tcPr>
            <w:tcW w:type="dxa" w:w="2880"/>
          </w:tcPr>
          <w:p>
            <w:r>
              <w:rPr>
                <w:sz w:val="18"/>
              </w:rPr>
              <w:t>Phase 4 — Déploiement</w:t>
            </w:r>
          </w:p>
        </w:tc>
        <w:tc>
          <w:tcPr>
            <w:tcW w:type="dxa" w:w="2880"/>
          </w:tcPr>
          <w:p>
            <w:r>
              <w:rPr>
                <w:sz w:val="18"/>
              </w:rPr>
              <w:t>1 semaine</w:t>
            </w:r>
          </w:p>
        </w:tc>
        <w:tc>
          <w:tcPr>
            <w:tcW w:type="dxa" w:w="2880"/>
          </w:tcPr>
          <w:p>
            <w:r>
              <w:rPr>
                <w:sz w:val="18"/>
              </w:rPr>
              <w:t>Mise en production, formation, accompagnement</w:t>
            </w:r>
          </w:p>
        </w:tc>
      </w:tr>
    </w:tbl>
    <w:p/>
    <w:p>
      <w:pPr>
        <w:spacing w:before="240"/>
      </w:pPr>
      <w:r>
        <w:rPr>
          <w:color w:val="1B3A5C"/>
          <w:sz w:val="16"/>
        </w:rPr>
        <w:t>━━━━━━━━━━━━━━━━━━━━━━━━━━━━━━━━━━━━━━━━━━━━━━━━━━</w:t>
      </w:r>
    </w:p>
    <w:p>
      <w:pPr>
        <w:pStyle w:val="Heading2"/>
      </w:pPr>
      <w:r>
        <w:rPr>
          <w:color w:val="1B3A5C"/>
        </w:rPr>
        <w:t>8. CONCLUSION</w:t>
      </w:r>
    </w:p>
    <w:p>
      <w:r>
        <w:t>Ce cahier des charges définit les bases de la solution « FactuPro — Facturation simplifiée pour PME ». Le projet est techniquement faisable avec un budget et un délai maîtrisés. La clé du succès réside dans l'adaptation au contexte local (langue, monnaie, habitudes de paiement) et dans un accompagnement fort des utilisateurs lors du lancement.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