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Sustainability Report 2025</w:t>
      </w:r>
    </w:p>
    <w:p>
      <w:pPr>
        <w:jc w:val="center"/>
      </w:pPr>
      <w:r>
        <w:t>Towards a Greener Future</w:t>
      </w:r>
    </w:p>
    <w:p>
      <w:r>
        <w:rPr>
          <w:b/>
        </w:rPr>
        <w:t>This report outlines key sustainability initiatives for 2025.</w:t>
      </w:r>
    </w:p>
    <w:p>
      <w:pPr>
        <w:pStyle w:val="Heading2"/>
      </w:pPr>
      <w:r>
        <w:t>Main Goals</w:t>
      </w:r>
    </w:p>
    <w:p>
      <w:pPr>
        <w:pStyle w:val="ListBullet"/>
      </w:pPr>
      <w:r>
        <w:t>Reduce emissions</w:t>
      </w:r>
    </w:p>
    <w:p>
      <w:pPr>
        <w:pStyle w:val="ListBullet"/>
      </w:pPr>
      <w:r>
        <w:t>Improve recycling</w:t>
      </w:r>
    </w:p>
    <w:p>
      <w:pPr>
        <w:pStyle w:val="ListBullet"/>
      </w:pPr>
      <w:r>
        <w:t>Invest in green tech</w:t>
      </w:r>
    </w:p>
    <w:p>
      <w:pPr>
        <w:pStyle w:val="Heading2"/>
      </w:pPr>
      <w:r>
        <w:t>Sustainability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 Target</w:t>
            </w:r>
          </w:p>
        </w:tc>
      </w:tr>
      <w:tr>
        <w:tc>
          <w:tcPr>
            <w:tcW w:type="dxa" w:w="2880"/>
          </w:tcPr>
          <w:p>
            <w:r>
              <w:t>CO2 Reduction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Renewable Energy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</w:tbl>
    <w:p>
      <w:pPr>
        <w:pStyle w:val="Heading2"/>
      </w:pPr>
      <w:r>
        <w:t>Environmental Commitment</w:t>
      </w:r>
    </w:p>
    <w:p>
      <w:pPr>
        <w:pBdr>
          <w:top w:val="single" w:sz="12" w:color="000000"/>
          <w:left w:val="single" w:sz="12" w:color="000000"/>
          <w:bottom w:val="single" w:sz="12" w:color="000000"/>
          <w:right w:val="single" w:sz="12" w:color="000000"/>
        </w:pBdr>
      </w:pPr>
      <w:r>
        <w:rPr>
          <w:b/>
        </w:rPr>
        <w:t>Our mission is to make every process eco-friendly.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stainability_repor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Carbon Tracking Script</w:t>
      </w:r>
    </w:p>
    <w:p>
      <w:r>
        <w:rPr>
          <w:rFonts w:ascii="Courier New" w:hAnsi="Courier New"/>
          <w:sz w:val="20"/>
        </w:rPr>
        <w:t>def track_emissions(current, goal):</w:t>
        <w:br/>
        <w:t xml:space="preserve">    return (goal - current)/goal * 100</w:t>
      </w:r>
    </w:p>
    <w:p>
      <w:pPr>
        <w:pStyle w:val="Heading2"/>
      </w:pPr>
      <w:r>
        <w:t>Conclusion</w:t>
      </w:r>
    </w:p>
    <w:p>
      <w:r>
        <w:t>We remain committed to long-term sustainability.</w:t>
      </w:r>
    </w:p>
    <w:p>
      <w:pPr>
        <w:jc w:val="right"/>
      </w:pPr>
      <w:r>
        <w:br/>
        <w:t>Approved by: Automation Taskforce</w:t>
      </w:r>
    </w:p>
    <w:p>
      <w:pPr>
        <w:jc w:val="right"/>
      </w:pPr>
      <w:r>
        <w:t>Document Ref: SUSTAINABILITY_REPORT-2025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— Internal Use Only | Demonstration of DOCX Capabilities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Sustainability Report 2025 | November 04,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