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Financial Summary Q4 2025</w:t>
      </w:r>
    </w:p>
    <w:p>
      <w:pPr>
        <w:jc w:val="center"/>
      </w:pPr>
      <w:r>
        <w:t>End-of-Year Overview</w:t>
      </w:r>
    </w:p>
    <w:p>
      <w:r>
        <w:rPr>
          <w:b/>
        </w:rPr>
        <w:t>The Q4 2025 report covers profit margins, investments, and market stability.</w:t>
      </w:r>
    </w:p>
    <w:p>
      <w:pPr>
        <w:pStyle w:val="Heading2"/>
      </w:pPr>
      <w:r>
        <w:t>Highlights</w:t>
      </w:r>
    </w:p>
    <w:p>
      <w:pPr>
        <w:pStyle w:val="ListBullet"/>
      </w:pPr>
      <w:r>
        <w:t>Record profits</w:t>
      </w:r>
    </w:p>
    <w:p>
      <w:pPr>
        <w:pStyle w:val="ListBullet"/>
      </w:pPr>
      <w:r>
        <w:t>New markets opened</w:t>
      </w:r>
    </w:p>
    <w:p>
      <w:pPr>
        <w:pStyle w:val="ListBullet"/>
      </w:pPr>
      <w:r>
        <w:t>Debt reduction</w:t>
      </w:r>
    </w:p>
    <w:p>
      <w:pPr>
        <w:pStyle w:val="Heading2"/>
      </w:pPr>
      <w:r>
        <w:t>Financial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Revenue Growth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EBITDA Margin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</w:tbl>
    <w:p>
      <w:pPr>
        <w:pStyle w:val="Heading2"/>
      </w:pPr>
      <w:r>
        <w:t>Investor Notice</w:t>
      </w:r>
    </w:p>
    <w:p>
      <w:pPr>
        <w:pBdr>
          <w:top w:val="single" w:sz="12" w:color="000000"/>
          <w:left w:val="single" w:sz="12" w:color="000000"/>
          <w:bottom w:val="single" w:sz="12" w:color="000000"/>
          <w:right w:val="single" w:sz="12" w:color="000000"/>
        </w:pBdr>
      </w:pPr>
      <w:r>
        <w:rPr>
          <w:b/>
        </w:rPr>
        <w:t>All figures are preliminary and subject to audit.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summary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ROI Calculation</w:t>
      </w:r>
    </w:p>
    <w:p>
      <w:r>
        <w:rPr>
          <w:rFonts w:ascii="Courier New" w:hAnsi="Courier New"/>
          <w:sz w:val="20"/>
        </w:rPr>
        <w:t>def roi(gain, cost):</w:t>
        <w:br/>
        <w:t xml:space="preserve">    return (gain - cost) / cost * 100</w:t>
      </w:r>
    </w:p>
    <w:p>
      <w:pPr>
        <w:pStyle w:val="Heading2"/>
      </w:pPr>
      <w:r>
        <w:t>Conclusion</w:t>
      </w:r>
    </w:p>
    <w:p>
      <w:r>
        <w:t>The financial outlook for 2026 remains positive.</w:t>
      </w:r>
    </w:p>
    <w:p>
      <w:pPr>
        <w:jc w:val="right"/>
      </w:pPr>
      <w:r>
        <w:br/>
        <w:t>Approved by: Automation Taskforce</w:t>
      </w:r>
    </w:p>
    <w:p>
      <w:pPr>
        <w:jc w:val="right"/>
      </w:pPr>
      <w:r>
        <w:t>Document Ref: FINANCIAL_SUMMARY-2025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— Internal Use Only | Demonstration of DOCX Capabilities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Corporate Financial Summary Q4 2025 | November 04,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