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Livre Blanc sur l’Intelligence Artificielle</w:t>
      </w:r>
    </w:p>
    <w:p>
      <w:pPr>
        <w:jc w:val="center"/>
      </w:pPr>
      <w:r>
        <w:t>Vers une intelligence responsable</w:t>
      </w:r>
    </w:p>
    <w:p>
      <w:r>
        <w:rPr>
          <w:b/>
        </w:rPr>
        <w:t>Ce document présente les orientations stratégiques de l’IA en 2025.</w:t>
      </w:r>
    </w:p>
    <w:p>
      <w:pPr>
        <w:pStyle w:val="Heading2"/>
      </w:pPr>
      <w:r>
        <w:t>Axes prioritaires</w:t>
      </w:r>
    </w:p>
    <w:p>
      <w:pPr>
        <w:pStyle w:val="ListBullet"/>
      </w:pPr>
      <w:r>
        <w:t>Éthique</w:t>
      </w:r>
    </w:p>
    <w:p>
      <w:pPr>
        <w:pStyle w:val="ListBullet"/>
      </w:pPr>
      <w:r>
        <w:t>Transparence</w:t>
      </w:r>
    </w:p>
    <w:p>
      <w:pPr>
        <w:pStyle w:val="ListBullet"/>
      </w:pPr>
      <w:r>
        <w:t>Innovation</w:t>
      </w:r>
    </w:p>
    <w:p>
      <w:pPr>
        <w:pStyle w:val="Heading2"/>
      </w:pPr>
      <w:r>
        <w:t>Objectifs technologiques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Domaine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Cible 2025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</w:tbl>
    <w:p>
      <w:pPr>
        <w:pStyle w:val="Heading2"/>
      </w:pPr>
      <w:r>
        <w:t>Encadré important</w:t>
      </w:r>
    </w:p>
    <w:p>
      <w:pPr>
        <w:pBdr>
          <w:top w:val="single" w:sz="12" w:color="000000"/>
          <w:left w:val="single" w:sz="12" w:color="000000"/>
          <w:bottom w:val="single" w:sz="12" w:color="000000"/>
          <w:right w:val="single" w:sz="12" w:color="000000"/>
        </w:pBdr>
      </w:pPr>
      <w:r>
        <w:rPr>
          <w:b/>
        </w:rPr>
        <w:t>L’IA doit être conçue pour servir l’humain, pas le remplacer.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white_pape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Exemple de pseudocode</w:t>
      </w:r>
    </w:p>
    <w:p>
      <w:r>
        <w:rPr>
          <w:rFonts w:ascii="Courier New" w:hAnsi="Courier New"/>
          <w:sz w:val="20"/>
        </w:rPr>
        <w:t>fonction apprentissage(data):</w:t>
        <w:br/>
        <w:t xml:space="preserve">    modèle = entrainer(data)</w:t>
        <w:br/>
        <w:t xml:space="preserve">    retourner modèle</w:t>
      </w:r>
    </w:p>
    <w:p>
      <w:pPr>
        <w:pStyle w:val="Heading2"/>
      </w:pPr>
      <w:r>
        <w:t>Conclusion</w:t>
      </w:r>
    </w:p>
    <w:p>
      <w:r>
        <w:t>L’avenir de l’IA repose sur la confiance et la responsabilité.</w:t>
      </w:r>
    </w:p>
    <w:p>
      <w:pPr>
        <w:jc w:val="right"/>
      </w:pPr>
      <w:r>
        <w:br/>
        <w:t>Approved by: Automation Taskforce</w:t>
      </w:r>
    </w:p>
    <w:p>
      <w:pPr>
        <w:jc w:val="right"/>
      </w:pPr>
      <w:r>
        <w:t>Document Ref: IA_WHITE_PAPER-2025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Livre Blanc sur l’Intelligence Artificielle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