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Patient PT-M0001 knowledge-base evidence</w:t>
      </w:r>
    </w:p>
    <w:p>
      <w:r>
        <w:t>Diagnosis: Crohn disease flare. Risk level: needs_review.</w:t>
      </w:r>
    </w:p>
    <w:p>
      <w:r>
        <w:t>Clinical note: Longitudinal imaging comparison evidence for PT-M0001. This note links symptoms, imaging, structured labs, and clinician plan.</w:t>
      </w:r>
    </w:p>
    <w:p>
      <w:r>
        <w:t>Timeline event: Synthetic clinical_note evidence contributes to longitudinal answer synthesis.</w:t>
      </w:r>
    </w:p>
    <w:p>
      <w:r>
        <w:t>Structured table rows: 2025-01-03 tumor_size_cm=2.79 cm (normal); 2025-01-03 cea_ng_ml=4.36 ml (normal); 2025-01-03 egfr=67.32 egfr (normal); 2025-01-04 tumor_size_cm=2.79 cm (normal); 2025-01-04 cea_ng_ml=4.5 ml (normal)</w:t>
      </w:r>
    </w:p>
    <w:p>
      <w:r>
        <w:t>Expected Q&amp;A output: concise text answer, evidence table, and visual trend reference.</w:t>
      </w:r>
    </w:p>
    <w:sectPr/>
  </w:body>
</w:document>
</file>