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Pentium MMX, SDRAM, and ROM Memory Report</w:t>
      </w:r>
    </w:p>
    <w:p>
      <w:pPr>
        <w:pStyle w:val="Heading2"/>
      </w:pPr>
      <w:r>
        <w:t>Author:Rali123</w:t>
      </w:r>
    </w:p>
    <w:p>
      <w:r>
        <w:t>Pentium MMX, SDRAM, and ROM Memory Report</w:t>
        <w:br/>
        <w:br/>
        <w:t>Pentium MMX</w:t>
        <w:br/>
        <w:br/>
        <w:t xml:space="preserve">   MMX instructions are designed to process highly parallel and repetitive sequences, frequently found in multimedia operations, more efficiently.</w:t>
        <w:br/>
        <w:t xml:space="preserve">   MMX originally worked only on integer values.</w:t>
        <w:br/>
        <w:t xml:space="preserve">   It used the floating-point unit for processing, which led to time loss when transitioning to floating-point operations.</w:t>
        <w:br/>
        <w:t xml:space="preserve">   These initial drawbacks of MMX were later addressed and corrected in subsequent additions by Intel and AMD.</w:t>
        <w:br/>
        <w:t xml:space="preserve">   Intel licensed its MMX capabilities to other companies, including AMD and Cyrix (which was later acquired by VIA), allowing them to integrate MMX technology into their own Intel-compatible processors.</w:t>
        <w:br/>
        <w:t xml:space="preserve">   The Pentium II processor is essentially a Pentium Pro enhanced with MMX technology instructions and a modified cache design.</w:t>
        <w:br/>
        <w:t xml:space="preserve">   The Pentium II incorporated 57 new multimedia-related instructions that originated from MMX processors.</w:t>
        <w:br/>
        <w:t xml:space="preserve">   An MMX upgrade also involved doubling the internal L1 cache, increasing it from 16KB total in the Pentium Pro to 32KB total in the Pentium II.</w:t>
        <w:br/>
        <w:t xml:space="preserve">   Streaming SIMD Extensions (SSE), introduced with the Pentium III processor, served as an update to MMX and was sometimes referred to as MMX-2 before its official release.</w:t>
        <w:br/>
        <w:t xml:space="preserve">   Unlike MMX, SSE instructions enable floating-point calculations and utilize a dedicated unit within the processor, rather than sharing the standard floating-point unit.</w:t>
        <w:br/>
        <w:br/>
        <w:t>SDRAM</w:t>
        <w:br/>
        <w:br/>
        <w:t xml:space="preserve">   SDRAM, which stands for synchronous DRAM, is a JEDEC standard memory type that operates in synchronization with the memory bus.</w:t>
        <w:br/>
        <w:t xml:space="preserve">   It delivers information through high-speed bursts using a high-speed clocked interface.</w:t>
        <w:br/>
        <w:t xml:space="preserve">   SDRAM reduces latency compared to asynchronous DRAM because its signals are synchronized with the motherboard clock.</w:t>
        <w:br/>
        <w:t xml:space="preserve">   Motherboard chipset support is essential for SDRAM to be usable in systems.</w:t>
        <w:br/>
        <w:t xml:space="preserve">   Intel chipsets, starting with the 430VX and 430TX in 1996, began to support industry-standard SDRAM.</w:t>
        <w:br/>
        <w:t xml:space="preserve">   In 1998, with the introduction of the 440BX chipset, SDRAM became more popular than EDO memory.</w:t>
        <w:br/>
        <w:t xml:space="preserve">   Variations of SDRAM include DDR SDRAM, DDR2 SDRAM, DDR3 SDRAM, and DDR4 SDRAM.</w:t>
        <w:br/>
        <w:br/>
        <w:t>ROM Memory</w:t>
        <w:br/>
        <w:br/>
        <w:t xml:space="preserve">   ROM stands for Read-Only Memory.</w:t>
        <w:br/>
        <w:t xml:space="preserve">   The PC begins executing BIOS instructions 16 bytes from the end of the ROM, a deliberate design in Intel's x86 processors.</w:t>
        <w:br/>
        <w:t xml:space="preserve">   A JMP (jump) instruction at this address directs the processor to the actual start of the ROM, typically around F0000h (approximately 64KB earlier in the memory map).</w:t>
        <w:br/>
        <w:t xml:space="preserve">   This design allows ROMs to be of various sizes while consistently residing at the higher end of addresses within the first megabyte of the memory address space.</w:t>
        <w:br/>
        <w:t xml:space="preserve">   During the Power On Self Test (POST) phase of the boot process, the motherboard ROM automatically scans and reads adapter card ROMs.</w:t>
        <w:br/>
        <w:t xml:space="preserve">   The motherboard ROM searches a specific area of RAM (addresses C0000–DFFFFh) for adapter ROMs, looking for '55AAh' signature bytes to identify their beginning.</w:t>
        <w:br/>
        <w:t xml:space="preserve">   All adapter ROMs must start with '55AAh' to be recognized by the motherboard.</w:t>
        <w:br/>
        <w:t xml:space="preserve">   The third byte within an adapter ROM indicates its size in 512-byte units, known as paragraphs.</w:t>
        <w:br/>
        <w:t xml:space="preserve">   The fourth byte marks the actual beginning of the driver programs.</w:t>
        <w:br/>
        <w:t xml:space="preserve">   For testing purposes, the motherboard ROM sums all bytes in the ROM and divides the total by the number of bytes; the expected remainder is 100h.</w:t>
        <w:br/>
        <w:t xml:space="preserve">   Programmers typically use a "fill" byte at the end of an adapter ROM to ensure the checksum calculation is correct.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