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on LAN</w:t>
      </w:r>
    </w:p>
    <w:p>
      <w:pPr>
        <w:pStyle w:val="Heading2"/>
      </w:pPr>
      <w:r>
        <w:t>Author:Dakata</w:t>
      </w:r>
    </w:p>
    <w:p>
      <w:r>
        <w:t>Report on LAN</w:t>
        <w:br/>
        <w:br/>
        <w:t xml:space="preserve">   The architecture chosen for a Local Area Network (LAN) is crucial as it defines the network's speed, medium access control mechanisms (e.g., collision detection, token passing), compatible cable types, required network interface adapters, and adapter drivers.</w:t>
        <w:br/>
        <w:t xml:space="preserve">   The Institute of Electrical and Electronic Engineers (IEEE) has established standards for the physical characteristics of networks, including IEEE 802.3 (Ethernet) and IEEE 802.11 (Wi-Fi, Wireless Ethernet).</w:t>
        <w:br/>
        <w:t xml:space="preserve">   Ethernet, in both wired and wireless forms, is the most common choice for modern networks.</w:t>
        <w:br/>
        <w:t xml:space="preserve">   Token-Ring or ARCnet networks are encountered only in rare cases.</w:t>
        <w:br/>
        <w:t xml:space="preserve">   Local area networks (LANs) are mentioned on page 800 of the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