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on SDRAM</w:t>
      </w:r>
    </w:p>
    <w:p>
      <w:pPr>
        <w:pStyle w:val="Heading2"/>
      </w:pPr>
      <w:r>
        <w:t>Author:Rali123</w:t>
      </w:r>
    </w:p>
    <w:p>
      <w:r>
        <w:t>Report on SDRAM</w:t>
        <w:br/>
        <w:br/>
        <w:t xml:space="preserve">   SDRAM, which stands for synchronous DRAM, is a JEDEC standard memory type that operates in synchronization with the memory bus.</w:t>
        <w:br/>
        <w:t xml:space="preserve">   It delivers information through high-speed bursts using a high-speed clocked interface.</w:t>
        <w:br/>
        <w:t xml:space="preserve">   SDRAM reduces latency compared to asynchronous DRAM because its signals are synchronized with the motherboard clock.</w:t>
        <w:br/>
        <w:t xml:space="preserve">   Motherboard chipset support is essential for SDRAM to be usable in systems.</w:t>
        <w:br/>
        <w:t xml:space="preserve">   Intel chipsets, starting with the 430VX and 430TX in 1996, began to support industry-standard SDRAM.</w:t>
        <w:br/>
        <w:t xml:space="preserve">   In 1998, with the introduction of the 440BX chipset, SDRAM became more popular than EDO memory.</w:t>
        <w:br/>
        <w:t xml:space="preserve">   Variations of SDRAM include DDR SDRAM, DDR2 SDRAM, DDR3 SDRAM, and DDR4 SDRAM.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