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DDR SDRAM Report</w:t>
      </w:r>
    </w:p>
    <w:p>
      <w:pPr>
        <w:pStyle w:val="Heading2"/>
      </w:pPr>
      <w:r>
        <w:t>Author:Gerginov</w:t>
      </w:r>
    </w:p>
    <w:p>
      <w:r>
        <w:t>DDR SDRAM Report</w:t>
        <w:br/>
        <w:br/>
        <w:t xml:space="preserve">   Figure 6.4 illustrates SDR versus DDR cycling.</w:t>
        <w:br/>
        <w:t xml:space="preserve">   DDR4 modules are available in speeds of 1,600MHz (effective) and higher, with anticipated speeds up to 3,200MHz (effective).</w:t>
        <w:br/>
        <w:t xml:space="preserve">   For DDR, DDR2, DDR3, and DDR4, the true clock speed is half the effective rate, expressed in million transfers per second (MTps).</w:t>
        <w:br/>
        <w:t xml:space="preserve">   Table 6.11 provides the official JEDEC-approved DDR4 module types and bandwidth specifications.</w:t>
        <w:br/>
        <w:t xml:space="preserve">   The topology of DDR4 is a point-to-point connection, where each channel in the memory controller connects to a single module, differing from the bus architecture of DDR3 and earlier memory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