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DDR SDRAM</w:t>
      </w:r>
    </w:p>
    <w:p>
      <w:pPr>
        <w:pStyle w:val="Heading2"/>
      </w:pPr>
      <w:r>
        <w:t>Author:Gerginov</w:t>
      </w:r>
    </w:p>
    <w:p>
      <w:r>
        <w:t>Report on DDR SDRAM</w:t>
        <w:br/>
        <w:br/>
        <w:t xml:space="preserve">   DDR SDRAM cycling is compared to SDR cycling (Figure 6.4).</w:t>
        <w:br/>
        <w:t xml:space="preserve">   DDR4 modules are available in speeds of 1,600MHz (effective) and higher, with speeds up to 3,200MHz (effective) expected.</w:t>
        <w:br/>
        <w:t xml:space="preserve">   For DDR, DDR2, DDR3, and DDR4, the true clock speed is half the effective rate, expressed in million transfers per second (MTps).</w:t>
        <w:br/>
        <w:t xml:space="preserve">   Official JEDEC-approved DDR4 module types and bandwidth specifications are detailed in Table 6.11.</w:t>
        <w:br/>
        <w:t xml:space="preserve">   The topology of DDR4 is a point-to-point connection, not a bus as in DDR3 and earlier standards. Each channel in the memory controller connects to a single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