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SDRAM</w:t>
      </w:r>
    </w:p>
    <w:p>
      <w:pPr>
        <w:pStyle w:val="Heading2"/>
      </w:pPr>
      <w:r>
        <w:t>Author:Gerginov</w:t>
      </w:r>
    </w:p>
    <w:p>
      <w:r>
        <w:t>Report on SDRAM</w:t>
        <w:br/>
        <w:br/>
        <w:t xml:space="preserve">   SDRAM is short for synchronous DRAM.</w:t>
        <w:br/>
        <w:t xml:space="preserve">   It is a JEDEC standard for a type of DRAM that operates in synchronization with the memory bus.</w:t>
        <w:br/>
        <w:t xml:space="preserve">   SDRAM delivers information in very high-speed bursts through a high-speed clocked interface.</w:t>
        <w:br/>
        <w:t xml:space="preserve">   It reduces most of the latency associated with asynchronous DRAM because its signals are synchronized with the motherboard clock.</w:t>
        <w:br/>
        <w:t xml:space="preserve">   Motherboard chipset support is necessary for SDRAM to be usable in systems.</w:t>
        <w:br/>
        <w:t xml:space="preserve">   Intel's 430VX and 430TX chipsets, introduced in 1996, were among the first to support industry-standard SDRAM.</w:t>
        <w:br/>
        <w:t xml:space="preserve">   By 1998, with the release of the 440BX chipset, SDRAM surpassed EDO as the most popular memory type.</w:t>
        <w:br/>
        <w:t xml:space="preserve">   SDRAM became the standard memory architecture starting in 1998 due to the emergence of 100MHz and faster system bus speeds, replacing EDO RAM.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