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SDRAM Report</w:t>
      </w:r>
    </w:p>
    <w:p>
      <w:pPr>
        <w:pStyle w:val="Heading2"/>
      </w:pPr>
      <w:r>
        <w:t>Author:Gerginov</w:t>
      </w:r>
    </w:p>
    <w:p>
      <w:r>
        <w:t>SDRAM Report</w:t>
        <w:br/>
        <w:br/>
        <w:t xml:space="preserve">   SDRAM is short for synchronous DRAM.</w:t>
        <w:br/>
        <w:t xml:space="preserve">   It is a JEDEC standard for a type of DRAM that runs in synchronization with the memory bus.</w:t>
        <w:br/>
        <w:t xml:space="preserve">   SDRAM delivers information in very high-speed bursts using a high-speed clocked interface.</w:t>
        <w:br/>
        <w:t xml:space="preserve">   It removes most of the latency involved in asynchronous DRAM because the signals are already in synchronization with the motherboard clock.</w:t>
        <w:br/>
        <w:t xml:space="preserve">   Motherboard chipset support is required for SDRAM to be usable in systems.</w:t>
        <w:br/>
        <w:t xml:space="preserve">   Starting in 1996 with the 430VX and 430TX, most of Intel’s chipsets began to support industry-standard SDRAM.</w:t>
        <w:br/>
        <w:t xml:space="preserve">   In 1998, the introduction of the 440BX chipset caused SDRAM to eclipse EDO as the most popular type on the market.</w:t>
        <w:br/>
        <w:t xml:space="preserve">   SDRAM became the standard with the advent of 100MHz and faster system bus speeds, starting in 1998, leading to the rapid decline of EDO.</w:t>
        <w:br/>
        <w:t xml:space="preserve">   Double data rate SDRAM is referred to as DDR SDRAM.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