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IV clock speed</w:t>
      </w:r>
    </w:p>
    <w:p>
      <w:pPr>
        <w:pStyle w:val="Heading2"/>
      </w:pPr>
      <w:r>
        <w:t>Author:Dakata</w:t>
      </w:r>
    </w:p>
    <w:p>
      <w:r>
        <w:t>Pentium IV Clock Speed Report</w:t>
        <w:br/>
        <w:br/>
        <w:t xml:space="preserve">   Processor (front-side) bus speeds: 400MHz, 533MHz, 800MHz, or 1,066MHz.</w:t>
        <w:br/>
        <w:t xml:space="preserve">   Arithmetic logic units (ALUs): Run at twice the processor core frequency.</w:t>
        <w:br/>
        <w:t xml:space="preserve">   Hyper-Threading (HT) Technology support: Available in all 2.4GHz and faster processors running an 800MHz bus, and all 3.06GHz and faster processors running a 533MHz bus.</w:t>
        <w:br/>
        <w:t xml:space="preserve">   Maximum clock speed (0.13-micron process): Up to 3.4GHz.</w:t>
        <w:br/>
        <w:t xml:space="preserve">   System bus effective rates (quad-pumped): 400MHz, 533MHz, 800MHz, or 1,066MHz (from 100MHz, 133MHz, 200MHz, or 266MHz system clocks respectively).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