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on Pentium 4</w:t>
      </w:r>
    </w:p>
    <w:p>
      <w:pPr>
        <w:pStyle w:val="Heading2"/>
      </w:pPr>
      <w:r>
        <w:t>Author:KrumchoTati</w:t>
      </w:r>
    </w:p>
    <w:p>
      <w:r>
        <w:t>Report on Pentium 4</w:t>
        <w:br/>
        <w:br/>
        <w:t xml:space="preserve">   General Features and Architecture</w:t>
        <w:br/>
        <w:t xml:space="preserve">       Software compatible with previous Intel 32-bit processors.</w:t>
        <w:br/>
        <w:t xml:space="preserve">       Some versions support EM64T (64-bit extensions) and Execute Disable Bit (buffer overflow protection).</w:t>
        <w:br/>
        <w:t xml:space="preserve">       Processor (front-side) bus runs at 400MHz, 533MHz, 800MHz, or 1,066MHz.</w:t>
        <w:br/>
        <w:t xml:space="preserve">       Arithmetic logic units (ALUs) run at twice the processor core frequency.</w:t>
        <w:br/>
        <w:t xml:space="preserve">       Features hyper-pipelined (20-stage or 31-stage) technology.</w:t>
        <w:br/>
        <w:t xml:space="preserve">       Supports HT Technology in all 2.4GHz and faster processors with an 800MHz bus, and all 3.06GHz and faster processors with a 533MHz bus. HT Technology allows a single processor to run two threads simultaneously.</w:t>
        <w:br/>
        <w:t xml:space="preserve">       Deep out-of-order instruction execution and enhanced branch prediction.</w:t>
        <w:br/>
        <w:t xml:space="preserve">       Introduces the "NetBurst microarchitecture," a marketing term describing hyper-pipelined technology, a rapid execution engine, a high-speed system bus, and an execution trace cache.</w:t>
        <w:br/>
        <w:t xml:space="preserve">       Hyper-pipelined technology doubles or triples instruction pipeline depth compared to Pentium III, enabling higher clock speeds.</w:t>
        <w:br/>
        <w:t xml:space="preserve">       Rapid execution engine allows ALUs to run at twice the processor core frequency, enabling instructions to execute in half a clock cycle.</w:t>
        <w:br/>
        <w:t xml:space="preserve">       High-speed processor bus is a quad-pumped bus (100MHz, 133MHz, 200MHz, or 266MHz system clock, transferring data four times per cycle), resulting in effective rates of 400MHz, 533MHz, 800MHz, or 1,066MHz.</w:t>
        <w:br/>
        <w:t xml:space="preserve">       The 64-bit wide bus provides throughput rates of 3,200MBps, 4,266MBps, 6,400MBps, or 8,533MBps.</w:t>
        <w:br/>
        <w:t xml:space="preserve">       Pipelined internal architecture (20-stage or 31-stage) breaks instructions into more substages, similar to a RISC processor.</w:t>
        <w:br/>
        <w:br/>
        <w:t xml:space="preserve">   Cache</w:t>
        <w:br/>
        <w:t xml:space="preserve">       8KB or 16KB L1 cache plus 12K micro-op execution trace cache.</w:t>
        <w:br/>
        <w:t xml:space="preserve">       256KB, 512KB, 1MB, or 2MB of on-die, full-core speed 256-bit-wide L2 cache with eight-way associativity.</w:t>
        <w:br/>
        <w:t xml:space="preserve">       L2 cache can handle all physical memory and supports ECC.</w:t>
        <w:br/>
        <w:t xml:space="preserve">       2MB of on-die, full-speed L3 cache (specific to Extreme Edition).</w:t>
        <w:br/>
        <w:t xml:space="preserve">       Execution trace cache is a high-performance Level 1 cache that stores approximately 12K decoded micro-operations, increasing performance by removing the instruction decoder from the main execution pipeline.</w:t>
        <w:br/>
        <w:br/>
        <w:t xml:space="preserve">   Instruction Sets</w:t>
        <w:br/>
        <w:t xml:space="preserve">       SSE2-SSE plus 144 new instructions for graphics and sound processing (Willamette and Northwood cores).</w:t>
        <w:br/>
        <w:t xml:space="preserve">       SSE3-SSE2 plus 13 new instructions for graphics and sound processing (Prescott core).</w:t>
        <w:br/>
        <w:t xml:space="preserve">       Enhanced floating-point unit.</w:t>
        <w:br/>
        <w:br/>
        <w:t xml:space="preserve">   Sockets and Compatibility</w:t>
        <w:br/>
        <w:t xml:space="preserve">       Initially used Socket 423 (423 pins, 39x39 SPGA).</w:t>
        <w:br/>
        <w:t xml:space="preserve">       Later versions used Socket 478.</w:t>
        <w:br/>
        <w:t xml:space="preserve">       Final versions use Socket T (LGA775), which added support for features like EM64T, Execute Disable Bit, and Intel Virtualization Technology.</w:t>
        <w:br/>
        <w:t xml:space="preserve">       Celeron D versions are available for Socket 478 and Socket T (LGA775), offering lower-cost systems compatible with the Pentium 4.</w:t>
        <w:br/>
        <w:br/>
        <w:t xml:space="preserve">   Pentium 4 Extreme Edition</w:t>
        <w:br/>
        <w:t xml:space="preserve">       Introduced in November 2003, it was the first desktop PC processor to incorporate L3 cache.</w:t>
        <w:br/>
        <w:t xml:space="preserve">       Essentially a revamped version of the Prestonia core Xeon workstation/server processor.</w:t>
        <w:br/>
        <w:t xml:space="preserve">       Features 512KB of L2 cache and 2MB of L3 cache, increasing transistor count to 178 million.</w:t>
        <w:br/>
        <w:t xml:space="preserve">       Expensive to produce due to large die based on 130-nanometer process.</w:t>
        <w:br/>
        <w:t xml:space="preserve">       Targeted toward the gaming market due to its performance benefits for power-hungry 3D games.</w:t>
        <w:br/>
        <w:t xml:space="preserve">       Revised versions in 2004 were based on the 90-nanometer (0.09-micron) Pentium 4 Prescott core, with a larger 2MB L2 cache (without L3 cache in these versions).</w:t>
        <w:br/>
        <w:t xml:space="preserve">       Produced in both Socket 478 and Socket T form factors.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