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DDR SDRAM Information</w:t>
      </w:r>
    </w:p>
    <w:p>
      <w:pPr>
        <w:pStyle w:val="Heading2"/>
      </w:pPr>
      <w:r>
        <w:t>Author:Rali123</w:t>
      </w:r>
    </w:p>
    <w:p>
      <w:r>
        <w:t>DDR SDRAM Information</w:t>
        <w:br/>
        <w:br/>
        <w:t xml:space="preserve">   Figure 6.4 illustrates SDR versus DDR cycling.</w:t>
        <w:br/>
        <w:t xml:space="preserve">   DDR, DDR2, and DDR3 true clock speed is half the effective rate.</w:t>
        <w:br/>
        <w:t xml:space="preserve">   DDR3 and earlier memory standards, including DDR, used a bus topology.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