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II</w:t>
      </w:r>
    </w:p>
    <w:p>
      <w:pPr>
        <w:pStyle w:val="Heading2"/>
      </w:pPr>
      <w:r>
        <w:t>Author:Rali123</w:t>
      </w:r>
    </w:p>
    <w:p>
      <w:r>
        <w:t>Report on Pentium II</w:t>
        <w:br/>
        <w:br/>
        <w:t xml:space="preserve">   Intel revealed the Pentium II in May 1997.</w:t>
        <w:br/>
        <w:t xml:space="preserve">   Prior to its official unveiling, the Pentium II processor was popularly referred to by its code name, Klamath.</w:t>
        <w:br/>
        <w:t xml:space="preserve">   The Pentium II is essentially the same sixth-generation processor as the Pentium Pro, with MMX technology added.</w:t>
        <w:br/>
        <w:t xml:space="preserve">   MMX technology included double the L1 cache and 57 new MMX instructions.</w:t>
        <w:br/>
        <w:t xml:space="preserve">   The Pentium II chip is characterized by its SEC cartridge (SECC) design.</w:t>
        <w:br/>
        <w:t xml:space="preserve">   The processor, along with several L2 cache chips, is mounted on a small circuit board, which is then sealed in a metal and plastic cartridge.</w:t>
        <w:br/>
        <w:t xml:space="preserve">   The cartridge is plugged into the motherboard through an edge connector called Slot 1.</w:t>
        <w:br/>
        <w:t xml:space="preserve">   Variations on these cartridges are called SECC (single edge contact cartridge) and SECC2.</w:t>
        <w:br/>
        <w:t xml:space="preserve">   The SECC2 version was cheaper to make and allowed for a more direct heatsink attachment to the processor for better cooling.</w:t>
        <w:br/>
        <w:t xml:space="preserve">   Intel transitioned from SECC to SECC2 in the beginning of 1999.</w:t>
        <w:br/>
        <w:t xml:space="preserve">   By using separate chips mounted on a circuit board, Intel could build the Pentium II much less expensively than the Pentium Pro.</w:t>
        <w:br/>
        <w:t xml:space="preserve">   This design also allowed Intel to use cache chips from other manufacturers and more easily vary the amount of cache.</w:t>
        <w:br/>
        <w:t xml:space="preserve">   The Pentium II has the same multiprocessor scalability as the Pentium Pro, as well as integrated L2 cache.</w:t>
        <w:br/>
        <w:t xml:space="preserve">   It includes the 57 new multimedia-related instructions carried over from the MMX processors and the capability to process repetitive loop commands more efficiently.</w:t>
        <w:br/>
        <w:t xml:space="preserve">   The internal L1 cache was doubled from the Pentium Pro (from 16KB total to 32KB total in the Pentium II).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