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on CPUs Supporting Hyper-threading</w:t>
      </w:r>
    </w:p>
    <w:p>
      <w:pPr>
        <w:pStyle w:val="Heading2"/>
      </w:pPr>
      <w:r>
        <w:t>Author:Rali123</w:t>
      </w:r>
    </w:p>
    <w:p>
      <w:r>
        <w:t>Report on CPUs Supporting Hyper-threading</w:t>
        <w:br/>
        <w:br/>
        <w:t xml:space="preserve">   Processor Support: Many (but not all) Core i Series, Pentium 4, Xeon, and Atom processors support Hyper-threading (HT) Technology. Users should check specific model processor specifications to confirm.</w:t>
        <w:br/>
        <w:t xml:space="preserve">   Early HT-Enabled Processors: The Pentium Extreme Edition 840 was a notable early dual-core processor that supported HT Technology, which made it appear as a quad-core processor to the operating system.</w:t>
        <w:br/>
        <w:t xml:space="preserve">   Core i Series (Nehalem): In 2008, Intel introduced the Core i Series (Nehalem) processors, which were single-die quad-core chips with HT, appearing as eight cores to the operating system. These processors also included integrated memory and optional video controllers.</w:t>
        <w:br/>
        <w:t xml:space="preserve">   Sandy Bridge (Second Generation Core i-series): Intel's 2011 release of the "Sandy Bridge" second generation of Core i-series processors included four-core and six-core models with HT Technology, supporting up to 12 execution threads.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