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Pentium II</w:t>
      </w:r>
    </w:p>
    <w:p>
      <w:pPr>
        <w:pStyle w:val="Heading2"/>
      </w:pPr>
      <w:r>
        <w:t>Author:Gerginov</w:t>
      </w:r>
    </w:p>
    <w:p>
      <w:r>
        <w:t>Pentium II Report</w:t>
        <w:br/>
        <w:br/>
        <w:t xml:space="preserve">   Intel revealed the Pentium II in May 1997.</w:t>
        <w:br/>
        <w:t xml:space="preserve">   Prior to its official unveiling, it was popularly referred to by its code name, Klamath.</w:t>
        <w:br/>
        <w:t xml:space="preserve">   The Pentium II is essentially the same sixth-generation processor as the Pentium Pro, with MMX technology added.</w:t>
        <w:br/>
        <w:t xml:space="preserve">   MMX technology included double the L1 cache (from 16KB total to 32KB total) and 57 new MMX instructions.</w:t>
        <w:br/>
        <w:t xml:space="preserve">   Physically, the Pentium II chip departed from previous processors by using an SEC cartridge (SECC) design.</w:t>
        <w:br/>
        <w:t xml:space="preserve">   The processor, along with several L2 cache chips, is mounted on a small circuit board, which is then sealed in a metal and plastic cartridge.</w:t>
        <w:br/>
        <w:t xml:space="preserve">   The cartridge plugs into the motherboard through an edge connector called Slot 1.</w:t>
        <w:br/>
        <w:t xml:space="preserve">   There are two variations of these cartridges: SECC (single edge contact cartridge) and SECC2.</w:t>
        <w:br/>
        <w:t xml:space="preserve">   The SECC2 version was cheaper to make due to fewer overall parts and allowed for more direct heatsink attachment for better cooling.</w:t>
        <w:br/>
        <w:t xml:space="preserve">   Intel transitioned from SECC to SECC2 in early 1999; all later PII chips and subsequent Slot 1 PIII chips used the SECC2 design.</w:t>
        <w:br/>
        <w:t xml:space="preserve">   Using separate chips mounted on a circuit board allowed Intel to build the Pentium II less expensively than the Pentium Pro's multiple die within a package.</w:t>
        <w:br/>
        <w:t xml:space="preserve">   This design also allowed Intel to use cache chips from other manufacturers and more easily vary the amount of cache in future processors.</w:t>
        <w:br/>
        <w:t xml:space="preserve">   The Pentium II has the same multiprocessor scalability and integrated L2 cache as the Pentium Pro.</w:t>
        <w:br/>
        <w:t xml:space="preserve">   It includes the 57 new multimedia-related instructions from the MMX processors and the capability to process repetitive loop commands more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