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Cache Memory and ROM Report</w:t>
      </w:r>
    </w:p>
    <w:p>
      <w:pPr>
        <w:pStyle w:val="Heading2"/>
      </w:pPr>
      <w:r>
        <w:t>Author:Gerginov</w:t>
      </w:r>
    </w:p>
    <w:p>
      <w:r>
        <w:t>Cache Memory and ROM Report</w:t>
        <w:br/>
        <w:br/>
        <w:t>Cache Memory</w:t>
        <w:br/>
        <w:br/>
        <w:t xml:space="preserve">   Cache memory stores data the processor is likely to need in advance to ensure the processor operates at full or near-full speed without delays from slower main memory.</w:t>
        <w:br/>
        <w:t xml:space="preserve">   It is typically composed of static RAM (SRAM) memory, which is often integrated directly into the processor die. Older systems might have used cache chips on the motherboard.</w:t>
        <w:br/>
        <w:t xml:space="preserve">   Processor/memory cache designs commonly include multiple levels:</w:t>
        <w:br/>
        <w:t xml:space="preserve">       Level 1 (L1) and Level 2 (L2) cache are found in recent low-cost processor designs.</w:t>
        <w:br/>
        <w:t xml:space="preserve">       Level 3 (L3) cache is present in mid-range and high-end designs.</w:t>
        <w:br/>
        <w:t xml:space="preserve">   Internal Level 1 Cache:</w:t>
        <w:br/>
        <w:t xml:space="preserve">       All modern processors from the 486 family onward incorporate an integrated L1 cache and controller.</w:t>
        <w:br/>
        <w:t xml:space="preserve">       L1 cache sizes vary, starting from 8KB in the original 486DX and reaching 128KB or more in current processors.</w:t>
        <w:br/>
        <w:t xml:space="preserve">       Multicore processors are designed with separate L1 caches for each individual processor core.</w:t>
        <w:br/>
        <w:t xml:space="preserve">       L1 cache is divided equally to store both instructions and data.</w:t>
        <w:br/>
        <w:t xml:space="preserve">       Because L1 cache is built into the processor die, it operates at the processor's full-core speed, allowing data access without wait states.</w:t>
        <w:br/>
        <w:t xml:space="preserve">   Cache Organization and Mapping:</w:t>
        <w:br/>
        <w:t xml:space="preserve">       Fully associative mapped cache: When data is requested, its main memory address is compared against all address tag entries in the cache. A "hit" means the data is in cache; a "miss" requires retrieval from main memory. This offers the highest hit ratio but is slower in locating data.</w:t>
        <w:br/>
        <w:t xml:space="preserve">       Direct-mapped cache: Specific main memory addresses are assigned to fixed locations within the cache. This design uses fewer tag bits and is faster as only one tag needs checking, but it can lead to more cache misses.</w:t>
        <w:br/>
        <w:t xml:space="preserve">       Set associative cache: This is a variation of the direct-mapped cache. An n-way set associative cache allows a given memory address to be mapped to n different cache line locations. Increasing associativity can improve the hit rate but requires more time to check multiple tag addresses. It represents a balance between the speed of direct-mapped and the hit ratio of fully associative caches.</w:t>
        <w:br/>
        <w:t xml:space="preserve">   Cache Coherency:</w:t>
        <w:br/>
        <w:t xml:space="preserve">       The data within the cache must always remain consistent with the data in main memory.</w:t>
        <w:br/>
        <w:t xml:space="preserve">       The 486 family's internal cache employed a write-through mechanism, where data written to cache was simultaneously written to main memory.</w:t>
        <w:br/>
        <w:t xml:space="preserve">       Pentium and later processors utilize a write-back cache, which caches both read and write operations, further enhancing performance.</w:t>
        <w:br/>
        <w:t xml:space="preserve">   Improved cache designs also feature nonblocking capabilities.</w:t>
        <w:br/>
        <w:br/>
        <w:t>ROM Memory</w:t>
        <w:br/>
        <w:br/>
        <w:t xml:space="preserve">   ROM stands for Read-Only Memory.</w:t>
        <w:br/>
        <w:t xml:space="preserve">   The ROM BIOS plays a crucial role during the PC startup process.</w:t>
        <w:br/>
        <w:t xml:space="preserve">   Intel's x86 processors are designed to start executing BIOS instructions 16 bytes from the end of the ROM, where a JMP (jump) instruction directs the processor to the actual beginning of the ROM, typically around F0000h (64KB earlier). This design allows ROMs to be of various sizes while remaining at the higher end of addresses in the first megabyte of memory.</w:t>
        <w:br/>
        <w:t xml:space="preserve">   Adapter card ROMs are automatically scanned and read by the motherboard ROM during the Power On Self Test (POST).</w:t>
        <w:br/>
        <w:t xml:space="preserve">   The motherboard ROM scans a dedicated area of RAM (addresses C0000–DFFFFh) for adapter ROMs.</w:t>
        <w:br/>
        <w:t xml:space="preserve">   All adapter ROMs must begin with the signature bytes 55AAh to be recognized by the motherboard.</w:t>
        <w:br/>
        <w:t xml:space="preserve">   The third byte in an adapter ROM indicates its size in 512-byte units (paragraphs).</w:t>
        <w:br/>
        <w:t xml:space="preserve">   The fourth byte marks the actual start of the driver programs.</w:t>
        <w:br/>
        <w:t xml:space="preserve">   The motherboard ROM uses the size byte for testing purposes by performing a checksum: adding all bytes in the ROM and dividing the sum by the number of bytes, which should result in a remainder of 100h. Programmers often use a "fill" byte to ensure the checksum is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