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The Entropy Minimum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first blastomeres, before they assemble anything new, have the lowest entropy of any cell. A somatic cell sits at the other extreme — decades of wear in every organelle, every protein complex, every polymer. Nature clears the slate. The centriole is one structure it dismantles and rebuilds.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centriole problem is in stem cells.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During asymmetric division, the stem cell daughter keeps the old mother centriole — the new one goes to the differentiating daughter (Yamashita et al., 2007). Synthesis does not refresh the centriole in the cell that has to last a lifetime. Symmetric divisions add young centrioles to the pool but do not remove old ones from their lineage. This is not confined to stem cells: electron tomography of 1,386 centrioles showed structural aberrations accumulating with age in healthy human cells (Dittrich et al., 2023).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centriole is a geometric template.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daughter </w:t>
      </w:r>
      <w:r w:rsidDel="00000000" w:rsidR="00000000" w:rsidRPr="00000000">
        <w:rPr>
          <w:rtl w:val="0"/>
        </w:rPr>
        <w:t xml:space="preserve">centriole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assembles on the mother’s surface. ALMS1 condensates seed CEP152-CEP63-PCNT aggregates, which template cartwheel formation (Ozaki &amp; Tsou, 2026). SAS-6 ring assembly is surface-guided — the mother’s surface properties determine the daughter’s cartwheel geometry (Banterle et al., 2021). A damaged surface assembles a damaged seed, which templates a damaged cartwheel. One process, start to finish.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Plants lack somatic centrioles.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single carrot cell makes a whole carrot. Animal cells keep their centrioles and cannot do this. We can reset three counters of replicative aging. Telomeres. Mitochondria. The epigenome. The fourth — the centriole — has never been reset in a somatic cell. </w:t>
      </w:r>
      <w:r w:rsidDel="00000000" w:rsidR="00000000" w:rsidRPr="00000000">
        <w:rPr>
          <w:rtl w:val="0"/>
        </w:rPr>
        <w:t xml:space="preserve">Nature does this in every oocyte. Nobody has tried it in a somatic cell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The experiment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Step 1 (Ladder)</w:t>
      </w:r>
      <w:r w:rsidDel="00000000" w:rsidR="00000000" w:rsidRPr="00000000">
        <w:rPr>
          <w:rtl w:val="0"/>
        </w:rPr>
        <w:t xml:space="preserve">. Cut the damage load first: slow the counter, push old centrioles into differentiating daughters, remove only the mother centriole, keep spare young ones. </w:t>
      </w:r>
      <w:r w:rsidDel="00000000" w:rsidR="00000000" w:rsidRPr="00000000">
        <w:rPr>
          <w:b w:val="1"/>
          <w:bCs w:val="1"/>
          <w:rtl w:val="0"/>
        </w:rPr>
        <w:t xml:space="preserve">Step 2 (Eliminate)</w:t>
      </w:r>
      <w:r w:rsidDel="00000000" w:rsidR="00000000" w:rsidRPr="00000000">
        <w:rPr>
          <w:rtl w:val="0"/>
        </w:rPr>
        <w:t xml:space="preserve">. Take out the old centriole. Restore telomeres. Wipe the epigenome. Rescue mitochondria. </w:t>
      </w:r>
      <w:r w:rsidDel="00000000" w:rsidR="00000000" w:rsidRPr="00000000">
        <w:rPr>
          <w:b w:val="1"/>
          <w:bCs w:val="1"/>
          <w:rtl w:val="0"/>
        </w:rPr>
        <w:t xml:space="preserve">Step 3 (Reprogram)</w:t>
      </w:r>
      <w:r w:rsidDel="00000000" w:rsidR="00000000" w:rsidRPr="00000000">
        <w:rPr>
          <w:rtl w:val="0"/>
        </w:rPr>
        <w:t xml:space="preserve">. Push to totipotency with DUX4 + KDM4D + DPPA3. </w:t>
      </w:r>
      <w:r w:rsidDel="00000000" w:rsidR="00000000" w:rsidRPr="00000000">
        <w:rPr>
          <w:b w:val="1"/>
          <w:bCs w:val="1"/>
          <w:rtl w:val="0"/>
        </w:rPr>
        <w:t xml:space="preserve">Step 4 (Rebuild)</w:t>
      </w:r>
      <w:r w:rsidDel="00000000" w:rsidR="00000000" w:rsidRPr="00000000">
        <w:rPr>
          <w:rtl w:val="0"/>
        </w:rPr>
        <w:t xml:space="preserve">. Grow fresh centrioles de novo. Derive clean, young adult stem cells.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1346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Q&amp;A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Dividing cells synthesise new centriolar proteins — where’s the accumulation? Nuclear pore complexes are also long-lived. Why is the centriole different?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dividing cells that matter — stem cells — are the exception. They keep the old mother centriole and hand the new one to the differentiating daughter (Yamashita 2007, Royall 2023). Unlike an NPC, a damaged centriole passes its errors on.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Symmetric divisions dilute old centrioles across the pool.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They add young centrioles but don’t remove old ones. The centriole carrying the old template sticks around. More to the point, it’s a template: ALMS1 condensates on the mother surface seed the cartwheel (Ozaki &amp; Tsou 2026). SAS-6 assembly is surface-guided (Banterle 2021). The surface changes with age (Dittrich 2023). The daughter inherits the change.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daughter is perpendicular to the mother. How does the same defect transfer?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SAS-6 ring assembles flat against the mother’s surface — ring plane parallel to surface. The procentriole grows outward from that plane, which is why the two end up orthogonal. A deformed surface produces a deformed ring, which produces a daughter with altered cross-sectional geometry. SAS-6 ring assembly is surface-catalysed by four orders of magnitude (Gomez Melo et al., 2023). Over-elongation of the mother is a different kind of defect and probably doesn’t propagate. Surface defects do. Length defects may not.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this proven?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No. The experiment — cryo-ET of the proximal surface of centrioles from young vs aged fibroblasts — hasn’t been done. The methods exist (Fung et al., 2025). The rest is inference. Strong inference, but inference.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1346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Stem-Cell Division Limit Persists Despite Mitigating All Known Hallmarks of Aging: </w:t>
        <w:br w:type="textWrapping"/>
        <w:t xml:space="preserve">Toward a New Candidate Hallmark of Replicative Aging.</w:t>
        <w:br w:type="textWrapping"/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Entropy in Aging · Cologne · 2026 | Jaba Tqemaladze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</w:pPr>
    <w:rPr>
      <w:rFonts w:ascii="Arial" w:cs="Arial" w:eastAsia="Arial" w:hAnsi="Arial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20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120" w:line="240" w:lineRule="auto"/>
      <w:jc w:val="center"/>
    </w:pPr>
    <w:rPr>
      <w:rFonts w:ascii="Arial" w:cs="Arial" w:eastAsia="Arial" w:hAnsi="Arial"/>
      <w:sz w:val="56"/>
      <w:szCs w:val="56"/>
    </w:rPr>
  </w:style>
  <w:style w:type="paragraph" w:styleId="Subtitle">
    <w:name w:val="Subtitle"/>
    <w:basedOn w:val="Normal"/>
    <w:next w:val="Normal"/>
    <w:pPr>
      <w:spacing w:after="120" w:line="240" w:lineRule="auto"/>
      <w:jc w:val="center"/>
    </w:pPr>
    <w:rPr>
      <w:rFonts w:ascii="Arial" w:cs="Arial" w:eastAsia="Arial" w:hAnsi="Arial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