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3.png" ContentType="image/png"/>
  <Override PartName="/word/media/rId88.png" ContentType="image/png"/>
  <Override PartName="/word/media/rId91.png" ContentType="image/png"/>
  <Override PartName="/word/media/rId94.png" ContentType="image/png"/>
  <Override PartName="/word/media/rId97.png" ContentType="image/png"/>
  <Override PartName="/word/media/rId10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 xml:space="preserve">THE CENTRIOLE AS A UNIDIRECTIONAL RATCHET OF CELLULAR IDENTITY AND AGING</w:t>
      </w:r>
    </w:p>
    <w:p>
      <w:pPr>
        <w:pStyle w:val="Heading2"/>
      </w:pPr>
      <w:r>
        <w:t xml:space="preserve">Centriole Reset: Testing Structural Organelle Rejuvenation in Somatic Cells</w:t>
      </w:r>
    </w:p>
    <w:p>
      <w:pPr>
        <w:pStyle w:val="Heading3"/>
      </w:pPr>
      <w:r>
        <w:t xml:space="preserve">A Scientific Monograph — Theory and Protocol</w:t>
      </w:r>
    </w:p>
    <w:p>
      <w:pPr>
        <w:jc w:val="both"/>
        <w:pStyle w:val="FirstParagraph"/>
      </w:pPr>
      <w:r>
        <w:rPr>
          <w:b/>
          <w:bCs/>
        </w:rPr>
        <w:t xml:space="preserve">Jaba Tqemaladze, MD</w:t>
      </w:r>
    </w:p>
    <w:p>
      <w:pPr>
        <w:jc w:val="both"/>
        <w:pStyle w:val="BodyText"/>
      </w:pPr>
      <w:r>
        <w:t xml:space="preserve">President, Georgia Longevity Alliance (reg. № 404506520)</w:t>
      </w:r>
      <w:r>
        <w:t xml:space="preserve"> </w:t>
      </w:r>
      <w:r>
        <w:t xml:space="preserve">jaba@longevity.ge · ORCID: 0000-0001-8651-7243</w:t>
      </w:r>
    </w:p>
    <w:p>
      <w:pPr>
        <w:jc w:val="both"/>
        <w:pStyle w:val="BodyText"/>
      </w:pPr>
      <w:r>
        <w:rPr>
          <w:b/>
          <w:bCs/>
        </w:rPr>
        <w:t xml:space="preserve">Monograph version:</w:t>
      </w:r>
      <w:r>
        <w:t xml:space="preserve"> </w:t>
      </w:r>
      <w:r>
        <w:t xml:space="preserve">1.0 |</w:t>
      </w:r>
      <w:r>
        <w:t xml:space="preserve"> </w:t>
      </w:r>
      <w:r>
        <w:rPr>
          <w:b/>
          <w:bCs/>
        </w:rPr>
        <w:t xml:space="preserve">Date:</w:t>
      </w:r>
      <w:r>
        <w:t xml:space="preserve"> </w:t>
      </w:r>
      <w:r>
        <w:t xml:space="preserve">2026-08-11</w:t>
      </w:r>
      <w:r>
        <w:t xml:space="preserve"> </w:t>
      </w:r>
      <w:r>
        <w:rPr>
          <w:b/>
          <w:bCs/>
        </w:rPr>
        <w:t xml:space="preserve">Protocol version:</w:t>
      </w:r>
      <w:r>
        <w:t xml:space="preserve"> </w:t>
      </w:r>
      <w:r>
        <w:t xml:space="preserve">7.5 (consolidated:</w:t>
      </w:r>
      <w:r>
        <w:t xml:space="preserve"> </w:t>
      </w:r>
      <w:r>
        <w:rPr>
          <w:rStyle w:val="VerbatimChar"/>
        </w:rPr>
        <w:t xml:space="preserve">docs/ENTROPY_RESET_PROGRAM_COMPLETE.md</w:t>
      </w:r>
      <w:r>
        <w:t xml:space="preserve">)</w:t>
      </w:r>
      <w:r>
        <w:t xml:space="preserve"> </w:t>
      </w:r>
      <w:r>
        <w:rPr>
          <w:b/>
          <w:bCs/>
        </w:rPr>
        <w:t xml:space="preserve">Repositories:</w:t>
      </w:r>
      <w:r>
        <w:t xml:space="preserve"> </w:t>
      </w:r>
      <w:r>
        <w:t xml:space="preserve">github.com/Georgia-Longevity-Alliance/ARGUS-OS3 · github.com/djabbat/LC · github.com/djabbat/Marketing</w:t>
      </w:r>
    </w:p>
    <w:p>
      <w:pPr>
        <w:jc w:val="both"/>
        <w:pStyle w:val="BlockText"/>
      </w:pPr>
      <w:r>
        <w:rPr>
          <w:b/>
          <w:bCs/>
        </w:rPr>
        <w:t xml:space="preserve">Notation.</w:t>
      </w:r>
      <w:r>
        <w:t xml:space="preserve"> </w:t>
      </w:r>
      <w:r>
        <w:t xml:space="preserve">Every claim is marked</w:t>
      </w:r>
      <w:r>
        <w:t xml:space="preserve"> </w:t>
      </w:r>
      <w:r>
        <w:rPr>
          <w:b/>
          <w:bCs/>
        </w:rPr>
        <w:t xml:space="preserve">[E]</w:t>
      </w:r>
      <w:r>
        <w:t xml:space="preserve"> </w:t>
      </w:r>
      <w:r>
        <w:t xml:space="preserve">established,</w:t>
      </w:r>
      <w:r>
        <w:t xml:space="preserve"> </w:t>
      </w:r>
      <w:r>
        <w:rPr>
          <w:b/>
          <w:bCs/>
        </w:rPr>
        <w:t xml:space="preserve">[I]</w:t>
      </w:r>
      <w:r>
        <w:t xml:space="preserve"> </w:t>
      </w:r>
      <w:r>
        <w:t xml:space="preserve">inference,</w:t>
      </w:r>
      <w:r>
        <w:t xml:space="preserve"> </w:t>
      </w:r>
      <w:r>
        <w:rPr>
          <w:b/>
          <w:bCs/>
        </w:rPr>
        <w:t xml:space="preserve">[H]</w:t>
      </w:r>
      <w:r>
        <w:t xml:space="preserve"> </w:t>
      </w:r>
      <w:r>
        <w:t xml:space="preserve">hypothesis, or</w:t>
      </w:r>
      <w:r>
        <w:t xml:space="preserve"> </w:t>
      </w:r>
      <w:r>
        <w:rPr>
          <w:b/>
          <w:bCs/>
        </w:rPr>
        <w:t xml:space="preserve">[P]</w:t>
      </w:r>
      <w:r>
        <w:t xml:space="preserve"> </w:t>
      </w:r>
      <w:r>
        <w:t xml:space="preserve">prediction, and claims are restricted to the level at which evidence exists.</w:t>
      </w:r>
    </w:p>
    <w:p>
      <w:pPr>
        <w:pStyle w:val="Heading2"/>
      </w:pPr>
      <w:r>
        <w:t xml:space="preserve">Contents</w:t>
      </w:r>
    </w:p>
    <w:p>
      <w:pPr>
        <w:jc w:val="both"/>
        <w:pStyle w:val="Compact"/>
        <w:numPr>
          <w:ilvl w:val="0"/>
          <w:numId w:val="1001"/>
        </w:numPr>
      </w:pPr>
      <w:r>
        <w:rPr>
          <w:b/>
          <w:bCs/>
        </w:rPr>
        <w:t xml:space="preserve">Part I — The Problem and the Theory.</w:t>
      </w:r>
      <w:r>
        <w:t xml:space="preserve"> </w:t>
      </w:r>
      <w:r>
        <w:t xml:space="preserve">Cellular aging beyond the epigenome; CEDAR — the centriolar entropy-damage accumulation ratchet; MCARA — the multi-counter architecture; the germline as the existence proof.</w:t>
      </w:r>
    </w:p>
    <w:p>
      <w:pPr>
        <w:jc w:val="both"/>
        <w:pStyle w:val="Compact"/>
        <w:numPr>
          <w:ilvl w:val="0"/>
          <w:numId w:val="1001"/>
        </w:numPr>
      </w:pPr>
      <w:r>
        <w:rPr>
          <w:b/>
          <w:bCs/>
        </w:rPr>
        <w:t xml:space="preserve">Part II — The Red Thread.</w:t>
      </w:r>
      <w:r>
        <w:t xml:space="preserve"> </w:t>
      </w:r>
      <w:r>
        <w:t xml:space="preserve">The proximate mechanism of aging: retention, temporal entropy, functional decline, tissue imbalance, outcome.</w:t>
      </w:r>
    </w:p>
    <w:p>
      <w:pPr>
        <w:jc w:val="both"/>
        <w:pStyle w:val="Compact"/>
        <w:numPr>
          <w:ilvl w:val="0"/>
          <w:numId w:val="1001"/>
        </w:numPr>
      </w:pPr>
      <w:r>
        <w:rPr>
          <w:b/>
          <w:bCs/>
        </w:rPr>
        <w:t xml:space="preserve">Part III — The Protocol (v7.5).</w:t>
      </w:r>
      <w:r>
        <w:t xml:space="preserve"> </w:t>
      </w:r>
      <w:r>
        <w:t xml:space="preserve">The falsifiable causal test: elimination → verified de novo biogenesis → OSK-independent cellular rejuvenation; hypotheses, 2×2 factorial, four de novo-origin proofs, genome-integrity and transformation-surveillance gates, targeted USP25/28 checkpoint override, statistical analysis plan, phased budget.</w:t>
      </w:r>
    </w:p>
    <w:p>
      <w:pPr>
        <w:jc w:val="both"/>
        <w:pStyle w:val="Compact"/>
        <w:numPr>
          <w:ilvl w:val="0"/>
          <w:numId w:val="1001"/>
        </w:numPr>
      </w:pPr>
      <w:r>
        <w:rPr>
          <w:b/>
          <w:bCs/>
        </w:rPr>
        <w:t xml:space="preserve">Part IV — The Killer Experiment and the Path to Causality.</w:t>
      </w:r>
      <w:r>
        <w:t xml:space="preserve"> </w:t>
      </w:r>
      <w:r>
        <w:t xml:space="preserve">TTLL5-driven artificial centriole aging in OSK-rejuvenated cells; the transplantation arm; the in vivo ladder.</w:t>
      </w:r>
    </w:p>
    <w:p>
      <w:pPr>
        <w:jc w:val="both"/>
        <w:pStyle w:val="Compact"/>
        <w:numPr>
          <w:ilvl w:val="0"/>
          <w:numId w:val="1001"/>
        </w:numPr>
      </w:pPr>
      <w:r>
        <w:rPr>
          <w:b/>
          <w:bCs/>
        </w:rPr>
        <w:t xml:space="preserve">Part II — The Protocol (v8.3).</w:t>
      </w:r>
      <w:r>
        <w:t xml:space="preserve"> </w:t>
      </w:r>
      <w:r>
        <w:t xml:space="preserve">The falsifiable causal test: elimination → verified de novo biogenesis → OSK-independent cellular rejuvenation; hypotheses, 2×2 factorial, four de novo-origin proofs, genome-integrity and transformation-surveillance gates, targeted USP25/28 checkpoint override, statistical analysis plan, phased budget, systematic-search appendix.</w:t>
      </w:r>
    </w:p>
    <w:p>
      <w:pPr>
        <w:jc w:val="both"/>
        <w:pStyle w:val="Compact"/>
        <w:numPr>
          <w:ilvl w:val="0"/>
          <w:numId w:val="1001"/>
        </w:numPr>
      </w:pPr>
      <w:r>
        <w:rPr>
          <w:b/>
          <w:bCs/>
        </w:rPr>
        <w:t xml:space="preserve">Figures.</w:t>
      </w:r>
      <w:r>
        <w:t xml:space="preserve"> </w:t>
      </w:r>
      <w:r>
        <w:t xml:space="preserve">Conceptual schematics: the ratchet model, experimental design, proof ladder, override architecture, transformation surveillance.</w:t>
      </w:r>
    </w:p>
    <w:p>
      <w:pPr>
        <w:jc w:val="both"/>
        <w:pStyle w:val="Compact"/>
        <w:numPr>
          <w:ilvl w:val="0"/>
          <w:numId w:val="1001"/>
        </w:numPr>
      </w:pPr>
      <w:r>
        <w:rPr>
          <w:b/>
          <w:bCs/>
        </w:rPr>
        <w:t xml:space="preserve">Appendix — References (88 PMIDs, APA 7).</w:t>
      </w:r>
    </w:p>
    <w:p>
      <w:pPr>
        <w:jc w:val="both"/>
        <w:pStyle w:val="Compact"/>
        <w:numPr>
          <w:ilvl w:val="0"/>
          <w:numId w:val="1001"/>
        </w:numPr>
      </w:pPr>
      <w:r>
        <w:rPr>
          <w:b/>
          <w:bCs/>
        </w:rPr>
        <w:t xml:space="preserve">Appendix — References (APA 7, 69 PMIDs).</w:t>
      </w:r>
    </w:p>
    <w:p>
      <w:pPr>
        <w:pStyle w:val="Heading1"/>
      </w:pPr>
      <w:r>
        <w:t xml:space="preserve">Foreword</w:t>
      </w:r>
    </w:p>
    <w:p>
      <w:pPr>
        <w:jc w:val="both"/>
        <w:pStyle w:val="FirstParagraph"/>
      </w:pPr>
      <w:r>
        <w:t xml:space="preserve">This monograph consolidates a research program that began with a simple observation: animal stem cells divide asymmetrically, and in many systems the older centrosome is retained by the cell that keeps stemness (Yamashita 2007; Wang 2009). If the centriole — a semi-conservatively duplicated organelle — accumulates structural and post-translational entropy with each division, and if that entropy is never cleared in the somatic stem-cell lineage, then the oldest centriole is a candidate structural carrier of cellular aging: a ratchet that locks both differentiation state and division potential.</w:t>
      </w:r>
    </w:p>
    <w:p>
      <w:pPr>
        <w:jc w:val="both"/>
        <w:pStyle w:val="BodyText"/>
      </w:pPr>
      <w:r>
        <w:t xml:space="preserve">The claim is deliberately narrow and deliberately testable. This is not a claim that</w:t>
      </w:r>
      <w:r>
        <w:t xml:space="preserve"> </w:t>
      </w:r>
      <w:r>
        <w:t xml:space="preserve">“centrioles cause aging”</w:t>
      </w:r>
      <w:r>
        <w:t xml:space="preserve"> </w:t>
      </w:r>
      <w:r>
        <w:t xml:space="preserve">in a totalizing sense; it is the claim that a previously untested organelle-reset paradigm may complement epigenetic reprogramming by replacing a persistent structural component that is not directly erased by transcription-factor-mediated reprogramming. The two closest prior experiments are addressed head-on: Wong et al. (2015) demonstrated that normal cells arrest irreversibly upon centrosome loss — recovery after centriole elimination is an open empirical question in untransformed cells, not an established premise; Renzova et al. (2018) showed that in pluripotent cells centriole loss triggers p53-dependent differentiation — the outcome of ratchet release depends on the starting state.</w:t>
      </w:r>
    </w:p>
    <w:p>
      <w:pPr>
        <w:jc w:val="both"/>
        <w:pStyle w:val="BodyText"/>
      </w:pPr>
      <w:r>
        <w:t xml:space="preserve">This monograph consolidates a research program in its current form after extensive revision against the standards of high-impact journals. Each identified weakness was either solved or bounded with pre-registered controls and verified literature. The result is a protocol that is defensible as a Registered Report / Hypothesis contribution and executable as an ERC StG-scale program.</w:t>
      </w:r>
    </w:p>
    <w:p>
      <w:pPr>
        <w:jc w:val="both"/>
        <w:pStyle w:val="BodyText"/>
      </w:pPr>
      <w:r>
        <w:t xml:space="preserve">The scientific heart of the program is the falsifiable question:</w:t>
      </w:r>
    </w:p>
    <w:p>
      <w:pPr>
        <w:jc w:val="both"/>
        <w:pStyle w:val="BlockText"/>
      </w:pPr>
      <w:r>
        <w:rPr>
          <w:b/>
          <w:bCs/>
        </w:rPr>
        <w:t xml:space="preserve">Can experimentally induced centriole elimination followed by verified de novo centriole biogenesis produce measurable, OSK-independent improvements in defined cellular aging phenotypes, while preserving genomic integrity?</w:t>
      </w:r>
    </w:p>
    <w:p>
      <w:pPr>
        <w:jc w:val="both"/>
        <w:pStyle w:val="FirstParagraph"/>
      </w:pPr>
      <w:r>
        <w:t xml:space="preserve">This monograph presents the theory, the protocol, and the killer experiments — so that the reader can judge for themselves what is established, what is inferred, what is hypothesized, and what is predicted.</w:t>
      </w:r>
    </w:p>
    <w:p>
      <w:pPr>
        <w:jc w:val="both"/>
        <w:pStyle w:val="BodyText"/>
      </w:pPr>
      <w:r>
        <w:rPr>
          <w:i/>
          <w:iCs/>
        </w:rPr>
        <w:t xml:space="preserve">— Jaba Tqemaladze, MD, 2026-08-11</w:t>
      </w:r>
    </w:p>
    <w:p>
      <w:pPr>
        <w:pStyle w:val="Heading1"/>
      </w:pPr>
      <w:r>
        <w:t xml:space="preserve">Part I — The Problem and the Theory</w:t>
      </w:r>
    </w:p>
    <w:p>
      <w:pPr>
        <w:pStyle w:val="Heading2"/>
      </w:pPr>
      <w:r>
        <w:t xml:space="preserve">1.1 The structural gap in aging research</w:t>
      </w:r>
    </w:p>
    <w:p>
      <w:pPr>
        <w:jc w:val="both"/>
        <w:pStyle w:val="FirstParagraph"/>
      </w:pPr>
      <w:r>
        <w:t xml:space="preserve">The hallmarks of aging (López-Otín et al., 2013; 2023) enumerate twelve categories of age-associated damage. Most proposed interventions act on information carriers — the epigenome (OSK reprogramming), telomeres, mitochondria — or on downstream phenotypes (proteostasis, autophagy). What is missing from this catalogue is a</w:t>
      </w:r>
      <w:r>
        <w:t xml:space="preserve"> </w:t>
      </w:r>
      <w:r>
        <w:rPr>
          <w:b/>
          <w:bCs/>
        </w:rPr>
        <w:t xml:space="preserve">persistent structural component</w:t>
      </w:r>
      <w:r>
        <w:t xml:space="preserve">: an organelle that is semi-conservatively duplicated, retained across many divisions, and never reset in the somatic lineage.</w:t>
      </w:r>
    </w:p>
    <w:p>
      <w:pPr>
        <w:jc w:val="both"/>
        <w:pStyle w:val="BodyText"/>
      </w:pPr>
      <w:r>
        <w:t xml:space="preserve">The centriole is such a component. It duplicates once per cell cycle, templating daughter geometry from the mother’s proximal surface; it is inherited asymmetrically in stem-cell divisions (Yamashita 2007; Wang 2009; Januschke 2011); and — unlike the epigenome — its structural state is not erased by transcription-factor-mediated reprogramming. The germline is the only compartment that clears it: centrioles are eliminated during oogenesis and rebuilt de novo in the early embryo (Kalbfuss &amp; Gönczy 2023; Mikeladze-Dvali 2012). This monograph asks whether the somatic lineage can reproduce that clearing step — and what would happen if it did.</w:t>
      </w:r>
    </w:p>
    <w:p>
      <w:pPr>
        <w:pStyle w:val="Heading2"/>
      </w:pPr>
      <w:r>
        <w:t xml:space="preserve">1.2 CEDAR — Centriolar Entropy-Damage Accumulation Ratchet</w:t>
      </w:r>
    </w:p>
    <w:p>
      <w:pPr>
        <w:jc w:val="both"/>
        <w:pStyle w:val="FirstParagraph"/>
      </w:pPr>
      <w:r>
        <w:rPr>
          <w:b/>
          <w:bCs/>
        </w:rPr>
        <w:t xml:space="preserve">One sentence:</w:t>
      </w:r>
      <w:r>
        <w:t xml:space="preserve"> </w:t>
      </w:r>
      <w:r>
        <w:t xml:space="preserve">the centriole is a structural ratchet that accumulates entropy-damage with each division (counter mode) and locks the cell’s current differentiation state (state-lock mode); its loss releases identity in the direction set by the starting state.</w:t>
      </w:r>
    </w:p>
    <w:p>
      <w:pPr>
        <w:jc w:val="both"/>
        <w:pStyle w:val="Compact"/>
        <w:numPr>
          <w:ilvl w:val="0"/>
          <w:numId w:val="1002"/>
        </w:numPr>
      </w:pPr>
      <w:r>
        <w:rPr>
          <w:b/>
          <w:bCs/>
        </w:rPr>
        <w:t xml:space="preserve">Counter mode (CEDAR-α/β).</w:t>
      </w:r>
      <w:r>
        <w:t xml:space="preserve"> </w:t>
      </w:r>
      <w:r>
        <w:t xml:space="preserve">Semi-conservative duplication transmits templated geometry change (mother→daughter) plus superimposed stochastic errors: β·t + η(t), inseparable in vivo. The oldest centriole retained by the stem daughter accumulates the most temporal entropy.</w:t>
      </w:r>
    </w:p>
    <w:p>
      <w:pPr>
        <w:jc w:val="both"/>
        <w:pStyle w:val="Compact"/>
        <w:numPr>
          <w:ilvl w:val="0"/>
          <w:numId w:val="1002"/>
        </w:numPr>
      </w:pPr>
      <w:r>
        <w:rPr>
          <w:b/>
          <w:bCs/>
        </w:rPr>
        <w:t xml:space="preserve">State-lock mode (CEDAR-γ).</w:t>
      </w:r>
      <w:r>
        <w:t xml:space="preserve"> </w:t>
      </w:r>
      <w:r>
        <w:t xml:space="preserve">The Centrosome-Associated Memory Complex (CAMC) on the mother centriole acts as the ratchet pawl: it anchors the current differentiation state. Centriole loss releases the pawl; de novo assembly installs a fresh pawl that locks the new state.</w:t>
      </w:r>
    </w:p>
    <w:p>
      <w:pPr>
        <w:jc w:val="both"/>
        <w:pStyle w:val="Compact"/>
        <w:numPr>
          <w:ilvl w:val="0"/>
          <w:numId w:val="1002"/>
        </w:numPr>
      </w:pPr>
      <w:r>
        <w:rPr>
          <w:b/>
          <w:bCs/>
        </w:rPr>
        <w:t xml:space="preserve">The two-mode unification explains both counter-examples and the reprogramming barrier as one mechanism.</w:t>
      </w:r>
      <w:r>
        <w:t xml:space="preserve"> </w:t>
      </w:r>
      <w:r>
        <w:t xml:space="preserve">Renzova 2018 (loss in pluripotent cells → differentiation) is the ratchet released in the down direction; this protocol (loss in somatic cells → plasticity → re-locked younger) is the ratchet released in the up direction. The direction is set by the starting state, not by the perturbation.</w:t>
      </w:r>
    </w:p>
    <w:p>
      <w:pPr>
        <w:jc w:val="both"/>
        <w:pStyle w:val="FirstParagraph"/>
      </w:pPr>
      <w:r>
        <w:rPr>
          <w:b/>
          <w:bCs/>
        </w:rPr>
        <w:t xml:space="preserve">Falsifiability.</w:t>
      </w:r>
      <w:r>
        <w:t xml:space="preserve"> </w:t>
      </w:r>
      <w:r>
        <w:t xml:space="preserve">The ratchet model is falsified independently of any CRCS result if either (a) centriole loss in somatic cells produces the same outcome as in pluripotent cells (differentiation) despite p53 override and fibroblast identity — i.e., the starting state does not set the outcome; or (b) after verified de novo assembly the cell does not stably maintain the new state (rollback within 10 passages). Both are registered before data collection.</w:t>
      </w:r>
    </w:p>
    <w:p>
      <w:pPr>
        <w:pStyle w:val="Heading2"/>
      </w:pPr>
      <w:r>
        <w:t xml:space="preserve">1.3 MCARA — Multi-Counter Architecture of Replicative Aging</w:t>
      </w:r>
    </w:p>
    <w:p>
      <w:pPr>
        <w:jc w:val="both"/>
        <w:pStyle w:val="FirstParagraph"/>
      </w:pPr>
      <w:r>
        <w:t xml:space="preserve">The replicative limit is a</w:t>
      </w:r>
      <w:r>
        <w:t xml:space="preserve"> </w:t>
      </w:r>
      <w:r>
        <w:rPr>
          <w:b/>
          <w:bCs/>
        </w:rPr>
        <w:t xml:space="preserve">race of several counters</w:t>
      </w:r>
      <w:r>
        <w:t xml:space="preserve">: centriole/CEDAR (#1), telomeres, mitochondria/ROS, epigenome.</w:t>
      </w:r>
      <w:r>
        <w:t xml:space="preserve"> </w:t>
      </w:r>
      <w:r>
        <w:t xml:space="preserve">“Which counter’s entropy finishes first?”</w:t>
      </w:r>
      <w:r>
        <w:t xml:space="preserve"> </w:t>
      </w:r>
      <w:r>
        <w:t xml:space="preserve">determines the phenotype of the limit. The 2×2 factorial of the protocol (OSK × reset) plus the hTERT control directly tests single- vs. multi-counter decomposition: if a single-counter reset (centriole) improves but does not abolish the limit, another counter finished first — and that is a testable, publishable result.</w:t>
      </w:r>
    </w:p>
    <w:p>
      <w:pPr>
        <w:pStyle w:val="Heading2"/>
      </w:pPr>
      <w:r>
        <w:t xml:space="preserve">1.4 The germline as existence proof</w:t>
      </w:r>
    </w:p>
    <w:p>
      <w:pPr>
        <w:jc w:val="both"/>
        <w:pStyle w:val="FirstParagraph"/>
      </w:pPr>
      <w:r>
        <w:t xml:space="preserve">The germline eliminates centrioles (meiosis/oogenesis) and rebuilds them de novo (blastomeres), clearing both programmed geometry and stochastic damage in one act —</w:t>
      </w:r>
      <w:r>
        <w:t xml:space="preserve"> </w:t>
      </w:r>
      <w:r>
        <w:rPr>
          <w:b/>
          <w:bCs/>
        </w:rPr>
        <w:t xml:space="preserve">without</w:t>
      </w:r>
      <w:r>
        <w:t xml:space="preserve"> </w:t>
      </w:r>
      <w:r>
        <w:t xml:space="preserve">any claim about information carriers. This is the existence proof that multi-counter entropy reversal is biologically possible. The Entropy Reset Protocol reproduces the centriolar step of this reversal in somatic cells</w:t>
      </w:r>
      <w:r>
        <w:t xml:space="preserve"> </w:t>
      </w:r>
      <w:r>
        <w:rPr>
          <w:b/>
          <w:bCs/>
        </w:rPr>
        <w:t xml:space="preserve">without the meiotic price</w:t>
      </w:r>
      <w:r>
        <w:t xml:space="preserve">: diploidy preserved, no meiotic recombination, normal somatic DNA-repair capacity retained.</w:t>
      </w:r>
    </w:p>
    <w:p>
      <w:pPr>
        <w:pStyle w:val="Heading2"/>
      </w:pPr>
      <w:r>
        <w:t xml:space="preserve">1.5 Placement of the claims</w:t>
      </w:r>
    </w:p>
    <w:p>
      <w:pPr>
        <w:jc w:val="both"/>
        <w:pStyle w:val="SourceCode"/>
      </w:pPr>
      <w:r>
        <w:rPr>
          <w:rStyle w:val="VerbatimChar"/>
        </w:rPr>
        <w:t xml:space="preserve">CEDAR (general theory): differentiation → division limit in animal stem cells</w:t>
      </w:r>
      <w:r>
        <w:br/>
      </w:r>
      <w:r>
        <w:rPr>
          <w:rStyle w:val="VerbatimChar"/>
        </w:rPr>
        <w:t xml:space="preserve">    ⊃ MCARA (special case): which counter's entropy finishes first</w:t>
      </w:r>
      <w:r>
        <w:br/>
      </w:r>
      <w:r>
        <w:rPr>
          <w:rStyle w:val="VerbatimChar"/>
        </w:rPr>
        <w:t xml:space="preserve">        ⊃ Entropy Reset Protocol (somatic reversal without the meiotic price)</w:t>
      </w:r>
    </w:p>
    <w:p>
      <w:pPr>
        <w:pStyle w:val="Heading1"/>
      </w:pPr>
      <w:r>
        <w:t xml:space="preserve">Part II — The Complete Protocol (Red Thread · Protocol · Search Appendix)</w:t>
      </w:r>
    </w:p>
    <w:p>
      <w:pPr>
        <w:jc w:val="both"/>
        <w:pStyle w:val="BlockText"/>
      </w:pPr>
      <w:r>
        <w:rPr>
          <w:b/>
          <w:bCs/>
        </w:rPr>
        <w:t xml:space="preserve">Source:</w:t>
      </w:r>
      <w:r>
        <w:t xml:space="preserve"> </w:t>
      </w:r>
      <w:r>
        <w:rPr>
          <w:rStyle w:val="VerbatimChar"/>
        </w:rPr>
        <w:t xml:space="preserve">docs/ENTROPY_RESET_PROGRAM_COMPLETE.md</w:t>
      </w:r>
      <w:r>
        <w:t xml:space="preserve"> </w:t>
      </w:r>
      <w:r>
        <w:t xml:space="preserve">(Version 8.3, 2026-08-12). Included in full — Red Thread, Protocol, and Systematic-Search Appendix; no part omitted.</w:t>
      </w:r>
    </w:p>
    <w:p>
      <w:pPr>
        <w:pStyle w:val="Heading1"/>
      </w:pPr>
      <w:r>
        <w:t xml:space="preserve">PART 0 — THE RED THREAD (one-page mechanism)</w:t>
      </w:r>
    </w:p>
    <w:p>
      <w:pPr>
        <w:pStyle w:val="Heading1"/>
      </w:pPr>
      <w:r>
        <w:t xml:space="preserve">THE RED THREAD — The Proximate Mechanism of Aging</w:t>
      </w:r>
    </w:p>
    <w:p>
      <w:pPr>
        <w:jc w:val="both"/>
        <w:pStyle w:val="FirstParagraph"/>
      </w:pPr>
      <w:r>
        <w:rPr>
          <w:b/>
          <w:bCs/>
        </w:rPr>
        <w:t xml:space="preserve">One-page summary · 2026-08-11 · Jaba Tqemaladze, MD (Georgia Longevity Alliance)</w:t>
      </w:r>
    </w:p>
    <w:p>
      <w:pPr>
        <w:pStyle w:val="Heading2"/>
      </w:pPr>
      <w:r>
        <w:t xml:space="preserve">The mechanism in one sentence</w:t>
      </w:r>
    </w:p>
    <w:p>
      <w:pPr>
        <w:jc w:val="both"/>
        <w:pStyle w:val="BlockText"/>
      </w:pPr>
      <w:r>
        <w:rPr>
          <w:b/>
          <w:bCs/>
        </w:rPr>
        <w:t xml:space="preserve">The organism ages because the oldest centrioles — carrying the most errors — accumulate in stem cells: division tempo falls and niche-signal perception falls (centrosome + cilium function), so tissue self-repair declines while self-destruction rises — imbalance: repair↓ / destruction↑.</w:t>
      </w:r>
    </w:p>
    <w:p>
      <w:pPr>
        <w:pStyle w:val="Heading2"/>
      </w:pPr>
      <w:r>
        <w:t xml:space="preserve">The chain (5 links)</w:t>
      </w:r>
    </w:p>
    <w:p>
      <w:pPr>
        <w:jc w:val="both"/>
        <w:numPr>
          <w:ilvl w:val="0"/>
          <w:numId w:val="1003"/>
        </w:numPr>
      </w:pPr>
      <w:r>
        <w:rPr>
          <w:b/>
          <w:bCs/>
        </w:rPr>
        <w:t xml:space="preserve">Retention [E]</w:t>
      </w:r>
      <w:r>
        <w:t xml:space="preserve"> </w:t>
      </w:r>
      <w:r>
        <w:t xml:space="preserve">— In asymmetric stem-cell divisions, the older (mother) centrosome is inherited by the cell that keeps stemness (Yamashita 2007, PMID 17255513; Wang 2009, PMID 19829375). Progeny do</w:t>
      </w:r>
      <w:r>
        <w:t xml:space="preserve"> </w:t>
      </w:r>
      <w:r>
        <w:rPr>
          <w:b/>
          <w:bCs/>
        </w:rPr>
        <w:t xml:space="preserve">not</w:t>
      </w:r>
      <w:r>
        <w:t xml:space="preserve"> </w:t>
      </w:r>
      <w:r>
        <w:t xml:space="preserve">eliminate centrioles (unlike C. elegans, where 88% of somatic cells eliminate; planarian neoblasts lack centrioles). The ratchet is never released in the somatic stem-cell lineage.</w:t>
      </w:r>
    </w:p>
    <w:p>
      <w:pPr>
        <w:jc w:val="both"/>
        <w:numPr>
          <w:ilvl w:val="0"/>
          <w:numId w:val="1003"/>
        </w:numPr>
      </w:pPr>
      <w:r>
        <w:rPr>
          <w:b/>
          <w:bCs/>
        </w:rPr>
        <w:t xml:space="preserve">Temporal entropy accumulation [H]</w:t>
      </w:r>
      <w:r>
        <w:t xml:space="preserve"> </w:t>
      </w:r>
      <w:r>
        <w:t xml:space="preserve">— Templated geometry change (mother→daughter, semi-conservative duplication; Kochanski &amp; Borisy 1990, PMID 2335566) is</w:t>
      </w:r>
      <w:r>
        <w:t xml:space="preserve"> </w:t>
      </w:r>
      <w:r>
        <w:rPr>
          <w:b/>
          <w:bCs/>
        </w:rPr>
        <w:t xml:space="preserve">hypothesized to be PROGRAMMED — possibly a part of the differentiation mechanism itself</w:t>
      </w:r>
      <w:r>
        <w:t xml:space="preserve"> </w:t>
      </w:r>
      <w:r>
        <w:t xml:space="preserve">(H_programmed, falsifiable via cryo-ET comparison of de novo vs. templated geometry), and is inseparable from superimposed stochastic errors (β·t + η(t), not decomposable in vivo). Together they form the</w:t>
      </w:r>
      <w:r>
        <w:t xml:space="preserve"> </w:t>
      </w:r>
      <w:r>
        <w:rPr>
          <w:b/>
          <w:bCs/>
        </w:rPr>
        <w:t xml:space="preserve">temporal entropy</w:t>
      </w:r>
      <w:r>
        <w:t xml:space="preserve"> </w:t>
      </w:r>
      <w:r>
        <w:t xml:space="preserve">of the retained oldest centriole, which rises monotonically in daughter stem cells.</w:t>
      </w:r>
    </w:p>
    <w:p>
      <w:pPr>
        <w:jc w:val="both"/>
        <w:pStyle w:val="Compact"/>
        <w:numPr>
          <w:ilvl w:val="1"/>
          <w:numId w:val="1004"/>
        </w:numPr>
      </w:pPr>
      <w:r>
        <w:rPr>
          <w:b/>
          <w:bCs/>
        </w:rPr>
        <w:t xml:space="preserve">v8.1 clarification (</w:t>
      </w:r>
      <w:r>
        <w:rPr>
          <w:b/>
          <w:bCs/>
        </w:rPr>
        <w:t xml:space="preserve"> </w:t>
      </w:r>
      <w:r>
        <w:rPr>
          <w:b/>
          <w:bCs/>
        </w:rPr>
        <w:t xml:space="preserve">“contradiction 2”</w:t>
      </w:r>
      <w:r>
        <w:rPr>
          <w:b/>
          <w:bCs/>
        </w:rPr>
        <w:t xml:space="preserve">):</w:t>
      </w:r>
      <w:r>
        <w:t xml:space="preserve"> </w:t>
      </w:r>
      <w:r>
        <w:t xml:space="preserve">“programmed”</w:t>
      </w:r>
      <w:r>
        <w:t xml:space="preserve"> </w:t>
      </w:r>
      <w:r>
        <w:t xml:space="preserve">and</w:t>
      </w:r>
      <w:r>
        <w:t xml:space="preserve"> </w:t>
      </w:r>
      <w:r>
        <w:t xml:space="preserve">“stochastic”</w:t>
      </w:r>
      <w:r>
        <w:t xml:space="preserve"> </w:t>
      </w:r>
      <w:r>
        <w:t xml:space="preserve">are NOT contradictory for the same parameter — they are</w:t>
      </w:r>
      <w:r>
        <w:t xml:space="preserve"> </w:t>
      </w:r>
      <w:r>
        <w:rPr>
          <w:b/>
          <w:bCs/>
        </w:rPr>
        <w:t xml:space="preserve">two additive components acting at different levels</w:t>
      </w:r>
      <w:r>
        <w:t xml:space="preserve">: β·t is a deterministic, systematic trend component (templated geometry drift, reproducible across cells), while η(t) is the zero-mean stochastic fluctuation around it (cell-to-cell noise). This is the standard signal-plus-noise decomposition; the two are separable only in principle (in vivo they convolve, hence the cryo-ET falsification strategy compares de novo vs. templated geometry</w:t>
      </w:r>
      <w:r>
        <w:t xml:space="preserve"> </w:t>
      </w:r>
      <w:r>
        <w:rPr>
          <w:i/>
          <w:iCs/>
        </w:rPr>
        <w:t xml:space="preserve">distributions</w:t>
      </w:r>
      <w:r>
        <w:t xml:space="preserve">, not single cells).</w:t>
      </w:r>
    </w:p>
    <w:p>
      <w:pPr>
        <w:jc w:val="both"/>
        <w:numPr>
          <w:ilvl w:val="0"/>
          <w:numId w:val="1003"/>
        </w:numPr>
      </w:pPr>
      <w:r>
        <w:rPr>
          <w:b/>
          <w:bCs/>
        </w:rPr>
        <w:t xml:space="preserve">Functional decline [I]</w:t>
      </w:r>
      <w:r>
        <w:t xml:space="preserve"> </w:t>
      </w:r>
      <w:r>
        <w:t xml:space="preserve">— The oldest centriole impairs two functions:</w:t>
      </w:r>
    </w:p>
    <w:p>
      <w:pPr>
        <w:jc w:val="both"/>
        <w:pStyle w:val="Compact"/>
        <w:numPr>
          <w:ilvl w:val="1"/>
          <w:numId w:val="1005"/>
        </w:numPr>
      </w:pPr>
      <w:r>
        <w:rPr>
          <w:b/>
          <w:bCs/>
        </w:rPr>
        <w:t xml:space="preserve">Centrosome</w:t>
      </w:r>
      <w:r>
        <w:t xml:space="preserve"> </w:t>
      </w:r>
      <w:r>
        <w:t xml:space="preserve">→ division tempo ↓ (defective spindle/duplication)</w:t>
      </w:r>
    </w:p>
    <w:p>
      <w:pPr>
        <w:jc w:val="both"/>
        <w:pStyle w:val="Compact"/>
        <w:numPr>
          <w:ilvl w:val="1"/>
          <w:numId w:val="1005"/>
        </w:numPr>
      </w:pPr>
      <w:r>
        <w:rPr>
          <w:b/>
          <w:bCs/>
        </w:rPr>
        <w:t xml:space="preserve">Cilium</w:t>
      </w:r>
      <w:r>
        <w:t xml:space="preserve"> </w:t>
      </w:r>
      <w:r>
        <w:t xml:space="preserve">→ niche-signal perception ↓ (antenna for Hedgehog/Wnt/PDGFRα)</w:t>
      </w:r>
    </w:p>
    <w:p>
      <w:pPr>
        <w:jc w:val="both"/>
        <w:numPr>
          <w:ilvl w:val="0"/>
          <w:numId w:val="1003"/>
        </w:numPr>
      </w:pPr>
      <w:r>
        <w:rPr>
          <w:b/>
          <w:bCs/>
        </w:rPr>
        <w:t xml:space="preserve">Tissue imbalance [H]</w:t>
      </w:r>
      <w:r>
        <w:t xml:space="preserve"> </w:t>
      </w:r>
      <w:r>
        <w:t xml:space="preserve">— Division tempo ↓ + niche responses ↓ →</w:t>
      </w:r>
      <w:r>
        <w:t xml:space="preserve"> </w:t>
      </w:r>
      <w:r>
        <w:rPr>
          <w:b/>
          <w:bCs/>
        </w:rPr>
        <w:t xml:space="preserve">tissue self-repair ↓</w:t>
      </w:r>
      <w:r>
        <w:t xml:space="preserve">, while</w:t>
      </w:r>
      <w:r>
        <w:t xml:space="preserve"> </w:t>
      </w:r>
      <w:r>
        <w:rPr>
          <w:b/>
          <w:bCs/>
        </w:rPr>
        <w:t xml:space="preserve">self-destruction ↑</w:t>
      </w:r>
      <w:r>
        <w:t xml:space="preserve"> </w:t>
      </w:r>
      <w:r>
        <w:t xml:space="preserve">(apoptosis, senescence, degradation). Aging is the imbalance itself — not a</w:t>
      </w:r>
      <w:r>
        <w:t xml:space="preserve"> </w:t>
      </w:r>
      <w:r>
        <w:t xml:space="preserve">“breakdown,”</w:t>
      </w:r>
      <w:r>
        <w:t xml:space="preserve"> </w:t>
      </w:r>
      <w:r>
        <w:t xml:space="preserve">not a teleological</w:t>
      </w:r>
      <w:r>
        <w:t xml:space="preserve"> </w:t>
      </w:r>
      <w:r>
        <w:t xml:space="preserve">“price.”</w:t>
      </w:r>
    </w:p>
    <w:p>
      <w:pPr>
        <w:jc w:val="both"/>
        <w:numPr>
          <w:ilvl w:val="0"/>
          <w:numId w:val="1003"/>
        </w:numPr>
      </w:pPr>
      <w:r>
        <w:rPr>
          <w:b/>
          <w:bCs/>
        </w:rPr>
        <w:t xml:space="preserve">Outcome</w:t>
      </w:r>
      <w:r>
        <w:t xml:space="preserve"> </w:t>
      </w:r>
      <w:r>
        <w:t xml:space="preserve">— Regeneration cannot keep up with destruction → stem-cell exhaustion, division limit, organismal aging.</w:t>
      </w:r>
    </w:p>
    <w:p>
      <w:pPr>
        <w:pStyle w:val="Heading2"/>
      </w:pPr>
      <w:r>
        <w:t xml:space="preserve">The germline contrast</w:t>
      </w:r>
    </w:p>
    <w:p>
      <w:pPr>
        <w:jc w:val="both"/>
        <w:pStyle w:val="FirstParagraph"/>
      </w:pPr>
      <w:r>
        <w:t xml:space="preserve">The germline is the only compartment that</w:t>
      </w:r>
      <w:r>
        <w:t xml:space="preserve"> </w:t>
      </w:r>
      <w:r>
        <w:rPr>
          <w:b/>
          <w:bCs/>
        </w:rPr>
        <w:t xml:space="preserve">releases the ratchet</w:t>
      </w:r>
      <w:r>
        <w:t xml:space="preserve">: it eliminates centrioles (meiosis) and rebuilds de novo (blastomeres), clearing programmed geometry AND stochastic damage</w:t>
      </w:r>
      <w:r>
        <w:t xml:space="preserve"> </w:t>
      </w:r>
      <w:r>
        <w:rPr>
          <w:b/>
          <w:bCs/>
        </w:rPr>
        <w:t xml:space="preserve">in one act</w:t>
      </w:r>
      <w:r>
        <w:t xml:space="preserve"> </w:t>
      </w:r>
      <w:r>
        <w:t xml:space="preserve">— the existence proof that multi-counter entropy reversal is biologically possible. The</w:t>
      </w:r>
      <w:r>
        <w:t xml:space="preserve"> </w:t>
      </w:r>
      <w:r>
        <w:rPr>
          <w:b/>
          <w:bCs/>
        </w:rPr>
        <w:t xml:space="preserve">Entropy Reset Protocol</w:t>
      </w:r>
      <w:r>
        <w:t xml:space="preserve"> </w:t>
      </w:r>
      <w:r>
        <w:t xml:space="preserve">reproduces this in somatic cells</w:t>
      </w:r>
      <w:r>
        <w:t xml:space="preserve"> </w:t>
      </w:r>
      <w:r>
        <w:rPr>
          <w:b/>
          <w:bCs/>
        </w:rPr>
        <w:t xml:space="preserve">without the meiotic price</w:t>
      </w:r>
      <w:r>
        <w:t xml:space="preserve"> </w:t>
      </w:r>
      <w:r>
        <w:t xml:space="preserve">(diploidy preserved, no meiotic recombination).</w:t>
      </w:r>
    </w:p>
    <w:p>
      <w:pPr>
        <w:pStyle w:val="Heading2"/>
      </w:pPr>
      <w:r>
        <w:t xml:space="preserve">Placement (one hypothesis, one path, three levels)</w:t>
      </w:r>
    </w:p>
    <w:p>
      <w:pPr>
        <w:jc w:val="both"/>
        <w:pStyle w:val="SourceCode"/>
      </w:pPr>
      <w:r>
        <w:rPr>
          <w:rStyle w:val="VerbatimChar"/>
        </w:rPr>
        <w:t xml:space="preserve">CEDAR (general theory): differentiation → division limit in animal stem cells</w:t>
      </w:r>
      <w:r>
        <w:br/>
      </w:r>
      <w:r>
        <w:rPr>
          <w:rStyle w:val="VerbatimChar"/>
        </w:rPr>
        <w:t xml:space="preserve">    ⊃ MCARA (special case): which counter's entropy finishes first</w:t>
      </w:r>
      <w:r>
        <w:br/>
      </w:r>
      <w:r>
        <w:rPr>
          <w:rStyle w:val="VerbatimChar"/>
        </w:rPr>
        <w:t xml:space="preserve">    ⊃ Entropy Reset Protocol (somatic reversal without the meiotic price)</w:t>
      </w:r>
    </w:p>
    <w:p>
      <w:pPr>
        <w:pStyle w:val="Heading2"/>
      </w:pPr>
      <w:r>
        <w:t xml:space="preserve">Where the thread runs (all documents)</w:t>
      </w:r>
    </w:p>
    <w:tbl>
      <w:tblPr>
        <w:tblStyle w:val="Table"/>
        <w:tblW w:w="9026" w:type="dxa"/>
        <w:tblLook w:firstRow="1" w:lastRow="0" w:firstColumn="0" w:lastColumn="0" w:noHBand="0" w:noVBand="0" w:val="0020"/>
        <w:jc w:val="center"/>
      </w:tblPr>
      <w:tblGrid>
        <w:gridCol w:w="3960"/>
        <w:gridCol w:w="3960"/>
      </w:tblGrid>
      <w:tr>
        <w:trPr>
          <w:tblHeader w:val="on"/>
        </w:trPr>
        <w:tc>
          <w:tcPr/>
          <w:p>
            <w:pPr>
              <w:jc w:val="both"/>
              <w:pStyle w:val="Compact"/>
            </w:pPr>
            <w:r>
              <w:t xml:space="preserve">Document</w:t>
            </w:r>
          </w:p>
        </w:tc>
        <w:tc>
          <w:tcPr/>
          <w:p>
            <w:pPr>
              <w:jc w:val="both"/>
              <w:pStyle w:val="Compact"/>
            </w:pPr>
            <w:r>
              <w:t xml:space="preserve">Version</w:t>
            </w:r>
          </w:p>
        </w:tc>
      </w:tr>
      <w:tr>
        <w:tc>
          <w:tcPr/>
          <w:p>
            <w:pPr>
              <w:jc w:val="both"/>
              <w:pStyle w:val="Compact"/>
            </w:pPr>
            <w:r>
              <w:t xml:space="preserve">CEDAR CONCEPT (LC/MCARA/CEDAR)</w:t>
            </w:r>
          </w:p>
        </w:tc>
        <w:tc>
          <w:tcPr/>
          <w:p>
            <w:pPr>
              <w:jc w:val="both"/>
              <w:pStyle w:val="Compact"/>
            </w:pPr>
            <w:r>
              <w:t xml:space="preserve">v1.8</w:t>
            </w:r>
          </w:p>
        </w:tc>
      </w:tr>
      <w:tr>
        <w:tc>
          <w:tcPr/>
          <w:p>
            <w:pPr>
              <w:jc w:val="both"/>
              <w:pStyle w:val="Compact"/>
            </w:pPr>
            <w:r>
              <w:t xml:space="preserve">MCARA CONCEPT (LC/MCARA)</w:t>
            </w:r>
          </w:p>
        </w:tc>
        <w:tc>
          <w:tcPr/>
          <w:p>
            <w:pPr>
              <w:jc w:val="both"/>
              <w:pStyle w:val="Compact"/>
            </w:pPr>
            <w:r>
              <w:t xml:space="preserve">v5.8</w:t>
            </w:r>
          </w:p>
        </w:tc>
      </w:tr>
      <w:tr>
        <w:tc>
          <w:tcPr/>
          <w:p>
            <w:pPr>
              <w:jc w:val="both"/>
              <w:pStyle w:val="Compact"/>
            </w:pPr>
            <w:r>
              <w:t xml:space="preserve">ENTROPY_RESET_PROTOCOL (ARGUS-OS3 / Desktop / GitHub)</w:t>
            </w:r>
          </w:p>
        </w:tc>
        <w:tc>
          <w:tcPr/>
          <w:p>
            <w:pPr>
              <w:jc w:val="both"/>
              <w:pStyle w:val="Compact"/>
            </w:pPr>
            <w:r>
              <w:t xml:space="preserve">v6.1</w:t>
            </w:r>
          </w:p>
        </w:tc>
      </w:tr>
      <w:tr>
        <w:tc>
          <w:tcPr/>
          <w:p>
            <w:pPr>
              <w:jc w:val="both"/>
              <w:pStyle w:val="Compact"/>
            </w:pPr>
            <w:r>
              <w:t xml:space="preserve">ENTROPY_RESET_GRANT_CORE (Marketing/docs / Desktop)</w:t>
            </w:r>
          </w:p>
        </w:tc>
        <w:tc>
          <w:tcPr/>
          <w:p>
            <w:pPr>
              <w:jc w:val="both"/>
              <w:pStyle w:val="Compact"/>
            </w:pPr>
            <w:r>
              <w:t xml:space="preserve">v2.0</w:t>
            </w:r>
          </w:p>
        </w:tc>
      </w:tr>
      <w:tr>
        <w:tc>
          <w:tcPr/>
          <w:p>
            <w:pPr>
              <w:jc w:val="both"/>
              <w:pStyle w:val="Compact"/>
            </w:pPr>
            <w:r>
              <w:t xml:space="preserve">ERC Part B1 (Marketing/ERC_StG_2026_CentrioleReset)</w:t>
            </w:r>
          </w:p>
        </w:tc>
        <w:tc>
          <w:tcPr/>
          <w:p>
            <w:pPr>
              <w:jc w:val="both"/>
              <w:pStyle w:val="Compact"/>
            </w:pPr>
            <w:r>
              <w:t xml:space="preserve">v4.5</w:t>
            </w:r>
          </w:p>
        </w:tc>
      </w:tr>
      <w:tr>
        <w:tc>
          <w:tcPr/>
          <w:p>
            <w:pPr>
              <w:jc w:val="both"/>
              <w:pStyle w:val="Compact"/>
            </w:pPr>
            <w:r>
              <w:t xml:space="preserve">ERC CONCEPT</w:t>
            </w:r>
          </w:p>
        </w:tc>
        <w:tc>
          <w:tcPr/>
          <w:p>
            <w:pPr>
              <w:jc w:val="both"/>
              <w:pStyle w:val="Compact"/>
            </w:pPr>
            <w:r>
              <w:t xml:space="preserve">updated</w:t>
            </w:r>
          </w:p>
        </w:tc>
      </w:tr>
      <w:tr>
        <w:tc>
          <w:tcPr/>
          <w:p>
            <w:pPr>
              <w:jc w:val="both"/>
              <w:pStyle w:val="Compact"/>
            </w:pPr>
            <w:r>
              <w:t xml:space="preserve">Entropy-in-Aging CONCEPT (Cologne workshop)</w:t>
            </w:r>
          </w:p>
        </w:tc>
        <w:tc>
          <w:tcPr/>
          <w:p>
            <w:pPr>
              <w:jc w:val="both"/>
              <w:pStyle w:val="Compact"/>
            </w:pPr>
            <w:r>
              <w:t xml:space="preserve">v1.4</w:t>
            </w:r>
          </w:p>
        </w:tc>
      </w:tr>
    </w:tbl>
    <w:p>
      <w:pPr>
        <w:jc w:val="both"/>
        <w:pStyle w:val="BodyText"/>
      </w:pPr>
      <w:r>
        <w:rPr>
          <w:i/>
          <w:iCs/>
        </w:rPr>
        <w:t xml:space="preserve">GitHub: github.com/Georgia-Longevity-Alliance/ARGUS-OS3 · github.com/djabbat/LC · github.com/djabbat/Marketing</w:t>
      </w:r>
    </w:p>
    <w:p>
      <w:pPr>
        <w:pStyle w:val="Heading1"/>
      </w:pPr>
      <w:r>
        <w:t xml:space="preserve">PART 1 — ENTROPY RESET PROTOCOL v8.3</w:t>
      </w:r>
    </w:p>
    <w:p>
      <w:pPr>
        <w:pStyle w:val="Heading1"/>
      </w:pPr>
      <w:r>
        <w:t xml:space="preserve">Centriole Reset: Testing Structural Organelle Rejuvenation in Somatic Cells</w:t>
      </w:r>
    </w:p>
    <w:p>
      <w:pPr>
        <w:pStyle w:val="Heading1"/>
      </w:pPr>
      <w:r>
        <w:t xml:space="preserve">Centriole Reset: Testing Structural Organelle Rejuvenation in Somatic Cells</w:t>
      </w:r>
    </w:p>
    <w:p>
      <w:pPr>
        <w:jc w:val="both"/>
        <w:pStyle w:val="FirstParagraph"/>
      </w:pPr>
      <w:r>
        <w:rPr>
          <w:b/>
          <w:bCs/>
        </w:rPr>
        <w:t xml:space="preserve">Program name (grant platform):</w:t>
      </w:r>
      <w:r>
        <w:t xml:space="preserve"> </w:t>
      </w:r>
      <w:r>
        <w:t xml:space="preserve">ENTROPY RESET PROGRAM</w:t>
      </w:r>
      <w:r>
        <w:t xml:space="preserve"> </w:t>
      </w:r>
      <w:r>
        <w:rPr>
          <w:b/>
          <w:bCs/>
        </w:rPr>
        <w:t xml:space="preserve">Version:</w:t>
      </w:r>
      <w:r>
        <w:t xml:space="preserve"> </w:t>
      </w:r>
      <w:r>
        <w:t xml:space="preserve">8.3 |</w:t>
      </w:r>
      <w:r>
        <w:t xml:space="preserve"> </w:t>
      </w:r>
      <w:r>
        <w:rPr>
          <w:b/>
          <w:bCs/>
        </w:rPr>
        <w:t xml:space="preserve">Date:</w:t>
      </w:r>
      <w:r>
        <w:t xml:space="preserve"> </w:t>
      </w:r>
      <w:r>
        <w:t xml:space="preserve">2026-08-12 |</w:t>
      </w:r>
      <w:r>
        <w:t xml:space="preserve"> </w:t>
      </w:r>
      <w:r>
        <w:rPr>
          <w:b/>
          <w:bCs/>
        </w:rPr>
        <w:t xml:space="preserve">Author:</w:t>
      </w:r>
      <w:r>
        <w:t xml:space="preserve"> </w:t>
      </w:r>
      <w:r>
        <w:t xml:space="preserve">Jaba Tqemaladze, MD (Georgia Longevity Alliance)</w:t>
      </w:r>
    </w:p>
    <w:p>
      <w:pPr>
        <w:jc w:val="both"/>
        <w:pStyle w:val="BlockText"/>
      </w:pPr>
      <w:r>
        <w:rPr>
          <w:b/>
          <w:bCs/>
        </w:rPr>
        <w:t xml:space="preserve">Scope declaration.</w:t>
      </w:r>
      <w:r>
        <w:t xml:space="preserve"> </w:t>
      </w:r>
      <w:r>
        <w:t xml:space="preserve">This is a falsifiable research program, not a claim of established fact. It proposes an organelle-reset paradigm: controlled centriole elimination followed by verified de novo biogenesis, tested against partial epigenetic reprogramming (OSK), with genomic integrity as a non-negotiable gate. Every statement is marked</w:t>
      </w:r>
      <w:r>
        <w:t xml:space="preserve"> </w:t>
      </w:r>
      <w:r>
        <w:rPr>
          <w:b/>
          <w:bCs/>
        </w:rPr>
        <w:t xml:space="preserve">[E] established / [I] inference / [H] hypothesis / [P] prediction</w:t>
      </w:r>
      <w:r>
        <w:t xml:space="preserve">. Four levels of aging are distinguished throughout:</w:t>
      </w:r>
      <w:r>
        <w:t xml:space="preserve"> </w:t>
      </w:r>
      <w:r>
        <w:rPr>
          <w:b/>
          <w:bCs/>
        </w:rPr>
        <w:t xml:space="preserve">structural</w:t>
      </w:r>
      <w:r>
        <w:t xml:space="preserve"> </w:t>
      </w:r>
      <w:r>
        <w:t xml:space="preserve">(organelle),</w:t>
      </w:r>
      <w:r>
        <w:t xml:space="preserve"> </w:t>
      </w:r>
      <w:r>
        <w:rPr>
          <w:b/>
          <w:bCs/>
        </w:rPr>
        <w:t xml:space="preserve">cellular</w:t>
      </w:r>
      <w:r>
        <w:t xml:space="preserve">,</w:t>
      </w:r>
      <w:r>
        <w:t xml:space="preserve"> </w:t>
      </w:r>
      <w:r>
        <w:rPr>
          <w:b/>
          <w:bCs/>
        </w:rPr>
        <w:t xml:space="preserve">tissue</w:t>
      </w:r>
      <w:r>
        <w:t xml:space="preserve">, and</w:t>
      </w:r>
      <w:r>
        <w:t xml:space="preserve"> </w:t>
      </w:r>
      <w:r>
        <w:rPr>
          <w:b/>
          <w:bCs/>
        </w:rPr>
        <w:t xml:space="preserve">organismal</w:t>
      </w:r>
      <w:r>
        <w:t xml:space="preserve"> </w:t>
      </w:r>
      <w:r>
        <w:t xml:space="preserve">— no level is assumed from the success of the previous one.</w:t>
      </w:r>
    </w:p>
    <w:p>
      <w:pPr>
        <w:pStyle w:val="Heading2"/>
      </w:pPr>
      <w:r>
        <w:t xml:space="preserve">1. Focused Research Question</w:t>
      </w:r>
    </w:p>
    <w:p>
      <w:pPr>
        <w:jc w:val="both"/>
        <w:pStyle w:val="BlockText"/>
      </w:pPr>
      <w:r>
        <w:rPr>
          <w:b/>
          <w:bCs/>
        </w:rPr>
        <w:t xml:space="preserve">[P] Can experimentally induced centriole elimination followed by verified de novo centriole biogenesis produce measurable, OSK-independent improvements in defined cellular aging phenotypes, while preserving genomic integrity?</w:t>
      </w:r>
    </w:p>
    <w:p>
      <w:pPr>
        <w:jc w:val="both"/>
        <w:pStyle w:val="FirstParagraph"/>
      </w:pPr>
      <w:r>
        <w:t xml:space="preserve">This is deliberately narrower than</w:t>
      </w:r>
      <w:r>
        <w:t xml:space="preserve"> </w:t>
      </w:r>
      <w:r>
        <w:t xml:space="preserve">“reset aging”</w:t>
      </w:r>
      <w:r>
        <w:t xml:space="preserve"> </w:t>
      </w:r>
      <w:r>
        <w:t xml:space="preserve">— it is testable in a dish, pre-registrable, and falsifiable.</w:t>
      </w:r>
      <w:r>
        <w:t xml:space="preserve"> </w:t>
      </w:r>
      <w:r>
        <w:rPr>
          <w:b/>
          <w:bCs/>
        </w:rPr>
        <w:t xml:space="preserve">Explicit extrapolation boundary (per earlier review):</w:t>
      </w:r>
      <w:r>
        <w:t xml:space="preserve"> </w:t>
      </w:r>
      <w:r>
        <w:t xml:space="preserve">Phase 1 uses untransformed fibroblasts, which do</w:t>
      </w:r>
      <w:r>
        <w:t xml:space="preserve"> </w:t>
      </w:r>
      <w:r>
        <w:rPr>
          <w:b/>
          <w:bCs/>
        </w:rPr>
        <w:t xml:space="preserve">not</w:t>
      </w:r>
      <w:r>
        <w:t xml:space="preserve"> </w:t>
      </w:r>
      <w:r>
        <w:t xml:space="preserve">undergo asymmetric centrosome inheritance — Phase 1 tests</w:t>
      </w:r>
      <w:r>
        <w:t xml:space="preserve"> </w:t>
      </w:r>
      <w:r>
        <w:rPr>
          <w:i/>
          <w:iCs/>
        </w:rPr>
        <w:t xml:space="preserve">feasibility of the reset</w:t>
      </w:r>
      <w:r>
        <w:t xml:space="preserve"> </w:t>
      </w:r>
      <w:r>
        <w:t xml:space="preserve">(H1) and the cellular-aging phenotype (H2),</w:t>
      </w:r>
      <w:r>
        <w:t xml:space="preserve"> </w:t>
      </w:r>
      <w:r>
        <w:rPr>
          <w:b/>
          <w:bCs/>
        </w:rPr>
        <w:t xml:space="preserve">not</w:t>
      </w:r>
      <w:r>
        <w:t xml:space="preserve"> </w:t>
      </w:r>
      <w:r>
        <w:t xml:space="preserve">the stem-cell retention mechanism itself (which requires Phase 3 systems with demonstrated asymmetric inheritance, e.g., organoids or in vivo models). The red-thread mechanism is the motivation and the long-term target; Phase 1 does not claim to test it directly.</w:t>
      </w:r>
    </w:p>
    <w:p>
      <w:pPr>
        <w:pStyle w:val="Heading2"/>
      </w:pPr>
      <w:r>
        <w:t xml:space="preserve">2. What Is Established [E]</w:t>
      </w:r>
    </w:p>
    <w:p>
      <w:pPr>
        <w:pStyle w:val="Heading3"/>
      </w:pPr>
      <w:r>
        <w:t xml:space="preserve">2.1 Programmed centriole elimination is real</w:t>
      </w:r>
    </w:p>
    <w:p>
      <w:pPr>
        <w:jc w:val="both"/>
        <w:pStyle w:val="Compact"/>
        <w:numPr>
          <w:ilvl w:val="0"/>
          <w:numId w:val="1006"/>
        </w:numPr>
      </w:pPr>
      <w:r>
        <w:t xml:space="preserve">Kalbfuss &amp; Gönczy (2023,</w:t>
      </w:r>
      <w:r>
        <w:t xml:space="preserve"> </w:t>
      </w:r>
      <w:r>
        <w:rPr>
          <w:i/>
          <w:iCs/>
        </w:rPr>
        <w:t xml:space="preserve">Open Biology</w:t>
      </w:r>
      <w:r>
        <w:t xml:space="preserve">, PMID 37963546): review of centriole elimination pathways.</w:t>
      </w:r>
    </w:p>
    <w:p>
      <w:pPr>
        <w:jc w:val="both"/>
        <w:pStyle w:val="Compact"/>
        <w:numPr>
          <w:ilvl w:val="0"/>
          <w:numId w:val="1006"/>
        </w:numPr>
      </w:pPr>
      <w:r>
        <w:t xml:space="preserve">Kalbfuss &amp; Gönczy (2023,</w:t>
      </w:r>
      <w:r>
        <w:t xml:space="preserve"> </w:t>
      </w:r>
      <w:r>
        <w:rPr>
          <w:i/>
          <w:iCs/>
        </w:rPr>
        <w:t xml:space="preserve">Science Advances</w:t>
      </w:r>
      <w:r>
        <w:t xml:space="preserve">, PMID 37256957):</w:t>
      </w:r>
      <w:r>
        <w:t xml:space="preserve"> </w:t>
      </w:r>
      <w:r>
        <w:rPr>
          <w:b/>
          <w:bCs/>
        </w:rPr>
        <w:t xml:space="preserve">primary work</w:t>
      </w:r>
      <w:r>
        <w:t xml:space="preserve"> </w:t>
      </w:r>
      <w:r>
        <w:t xml:space="preserve">— 88% of C. elegans embryonic cells eliminate centrioles on a stereotyped schedule.</w:t>
      </w:r>
    </w:p>
    <w:p>
      <w:pPr>
        <w:pStyle w:val="Heading3"/>
      </w:pPr>
      <w:r>
        <w:t xml:space="preserve">2.2 De novo centriole biogenesis is real</w:t>
      </w:r>
    </w:p>
    <w:p>
      <w:pPr>
        <w:jc w:val="both"/>
        <w:pStyle w:val="Compact"/>
        <w:numPr>
          <w:ilvl w:val="0"/>
          <w:numId w:val="1007"/>
        </w:numPr>
      </w:pPr>
      <w:r>
        <w:t xml:space="preserve">Khodjakov et al. (2002, PMID 12356862): vertebrate cells assemble centrosomes de novo after removal.</w:t>
      </w:r>
    </w:p>
    <w:p>
      <w:pPr>
        <w:jc w:val="both"/>
        <w:pStyle w:val="Compact"/>
        <w:numPr>
          <w:ilvl w:val="0"/>
          <w:numId w:val="1007"/>
        </w:numPr>
      </w:pPr>
      <w:r>
        <w:t xml:space="preserve">Takumi &amp; Kitagawa (2022,</w:t>
      </w:r>
      <w:r>
        <w:t xml:space="preserve"> </w:t>
      </w:r>
      <w:r>
        <w:rPr>
          <w:i/>
          <w:iCs/>
        </w:rPr>
        <w:t xml:space="preserve">Front Cell Dev Biol</w:t>
      </w:r>
      <w:r>
        <w:t xml:space="preserve">, PMID 35445021): experimental and natural induction of de novo centriole formation.</w:t>
      </w:r>
    </w:p>
    <w:p>
      <w:pPr>
        <w:jc w:val="both"/>
        <w:pStyle w:val="Compact"/>
        <w:numPr>
          <w:ilvl w:val="0"/>
          <w:numId w:val="1007"/>
        </w:numPr>
      </w:pPr>
      <w:r>
        <w:t xml:space="preserve">Gönczy (2026,</w:t>
      </w:r>
      <w:r>
        <w:t xml:space="preserve"> </w:t>
      </w:r>
      <w:r>
        <w:rPr>
          <w:i/>
          <w:iCs/>
        </w:rPr>
        <w:t xml:space="preserve">Nat Rev Mol Cell Biol</w:t>
      </w:r>
      <w:r>
        <w:t xml:space="preserve">, PMID 41310006): canonical biogenesis pathway (PLK4–STIL–SAS-6).</w:t>
      </w:r>
    </w:p>
    <w:p>
      <w:pPr>
        <w:jc w:val="both"/>
        <w:pStyle w:val="Compact"/>
        <w:numPr>
          <w:ilvl w:val="0"/>
          <w:numId w:val="1007"/>
        </w:numPr>
      </w:pPr>
      <w:r>
        <w:rPr>
          <w:b/>
          <w:bCs/>
        </w:rPr>
        <w:t xml:space="preserve">Aggregate-seeded de novo model (v7.4):</w:t>
      </w:r>
      <w:r>
        <w:t xml:space="preserve"> </w:t>
      </w:r>
      <w:r>
        <w:t xml:space="preserve">CEP152–CEP63–PCNT aggregates propagate outside the centriole and seed de novo biogenesis (Ozaki et al., 2025,</w:t>
      </w:r>
      <w:r>
        <w:t xml:space="preserve"> </w:t>
      </w:r>
      <w:r>
        <w:rPr>
          <w:i/>
          <w:iCs/>
        </w:rPr>
        <w:t xml:space="preserve">bioRxiv</w:t>
      </w:r>
      <w:r>
        <w:t xml:space="preserve">, PMID 40667363, preprint — disclosed as such) — a molecular description of the template-independent route this protocol must prove.</w:t>
      </w:r>
    </w:p>
    <w:p>
      <w:pPr>
        <w:jc w:val="both"/>
        <w:pStyle w:val="Compact"/>
        <w:numPr>
          <w:ilvl w:val="0"/>
          <w:numId w:val="1007"/>
        </w:numPr>
      </w:pPr>
      <w:r>
        <w:rPr>
          <w:b/>
          <w:bCs/>
        </w:rPr>
        <w:t xml:space="preserve">Caveat [E]:</w:t>
      </w:r>
      <w:r>
        <w:t xml:space="preserve"> </w:t>
      </w:r>
      <w:r>
        <w:t xml:space="preserve">in most proliferating cells, the dominant route is canonical (next to the existing centriole); the de novo pathway is a specialized state — the protocol must prove it was used (see §7.3).</w:t>
      </w:r>
    </w:p>
    <w:p>
      <w:pPr>
        <w:jc w:val="both"/>
        <w:pStyle w:val="Compact"/>
        <w:numPr>
          <w:ilvl w:val="0"/>
          <w:numId w:val="1007"/>
        </w:numPr>
      </w:pPr>
      <w:r>
        <w:rPr>
          <w:b/>
          <w:bCs/>
        </w:rPr>
        <w:t xml:space="preserve">Centriole stability [E, v7.4]:</w:t>
      </w:r>
      <w:r>
        <w:t xml:space="preserve"> </w:t>
      </w:r>
      <w:r>
        <w:t xml:space="preserve">mechanisms underlying centriole stability are now systematically reviewed (Biven &amp; Wang 2025,</w:t>
      </w:r>
      <w:r>
        <w:t xml:space="preserve"> </w:t>
      </w:r>
      <w:r>
        <w:rPr>
          <w:i/>
          <w:iCs/>
        </w:rPr>
        <w:t xml:space="preserve">J Biol Chem</w:t>
      </w:r>
      <w:r>
        <w:t xml:space="preserve">, PMID 41167311) — the molecular basis for the</w:t>
      </w:r>
      <w:r>
        <w:t xml:space="preserve"> </w:t>
      </w:r>
      <w:r>
        <w:t xml:space="preserve">“templated geometry change”</w:t>
      </w:r>
      <w:r>
        <w:t xml:space="preserve"> </w:t>
      </w:r>
      <w:r>
        <w:t xml:space="preserve">claim (H_programmed) and its falsifiable cryo-ET test (§4.3).</w:t>
      </w:r>
    </w:p>
    <w:p>
      <w:pPr>
        <w:pStyle w:val="Heading3"/>
      </w:pPr>
      <w:r>
        <w:t xml:space="preserve">2.2a Centriolar proteins and cellular senescence [E→I, v7.4]</w:t>
      </w:r>
    </w:p>
    <w:p>
      <w:pPr>
        <w:jc w:val="both"/>
        <w:pStyle w:val="Compact"/>
        <w:numPr>
          <w:ilvl w:val="0"/>
          <w:numId w:val="1008"/>
        </w:numPr>
      </w:pPr>
      <w:r>
        <w:rPr>
          <w:b/>
          <w:bCs/>
        </w:rPr>
        <w:t xml:space="preserve">POC5 regulates human adipogenesis and cellular senescence</w:t>
      </w:r>
      <w:r>
        <w:t xml:space="preserve"> </w:t>
      </w:r>
      <w:r>
        <w:t xml:space="preserve">(Pistorio et al., 2026,</w:t>
      </w:r>
      <w:r>
        <w:t xml:space="preserve"> </w:t>
      </w:r>
      <w:r>
        <w:rPr>
          <w:i/>
          <w:iCs/>
        </w:rPr>
        <w:t xml:space="preserve">FASEB J</w:t>
      </w:r>
      <w:r>
        <w:t xml:space="preserve">, PMID 42507085) — a centriolar protein directly modulates a senescence-associated phenotype in primary human cells; independent support (beyond Robichaud 2024) for the centriole–senescence connection at the protein level.</w:t>
      </w:r>
    </w:p>
    <w:p>
      <w:pPr>
        <w:pStyle w:val="Heading3"/>
      </w:pPr>
      <w:r>
        <w:t xml:space="preserve">2.2b The scaffold-stability argument ( rebuttal)</w:t>
      </w:r>
    </w:p>
    <w:p>
      <w:pPr>
        <w:jc w:val="both"/>
        <w:pStyle w:val="BlockText"/>
      </w:pPr>
      <w:r>
        <w:t xml:space="preserve">Reviewer v11:</w:t>
      </w:r>
      <w:r>
        <w:t xml:space="preserve"> </w:t>
      </w:r>
      <w:r>
        <w:t xml:space="preserve">“The centriole is a scaffold, not a hard disk; centrosomal proteins turn over rapidly, so PTM errors cannot accumulate.”</w:t>
      </w:r>
    </w:p>
    <w:p>
      <w:pPr>
        <w:jc w:val="both"/>
        <w:pStyle w:val="FirstParagraph"/>
      </w:pPr>
      <w:r>
        <w:rPr>
          <w:b/>
          <w:bCs/>
        </w:rPr>
        <w:t xml:space="preserve">Rebuttal (with literature):</w:t>
      </w:r>
      <w:r>
        <w:t xml:space="preserve"> </w:t>
      </w:r>
      <w:r>
        <w:t xml:space="preserve">(1) the centriole is a</w:t>
      </w:r>
      <w:r>
        <w:t xml:space="preserve"> </w:t>
      </w:r>
      <w:r>
        <w:rPr>
          <w:b/>
          <w:bCs/>
        </w:rPr>
        <w:t xml:space="preserve">semi-stable, long-lived organelle</w:t>
      </w:r>
      <w:r>
        <w:t xml:space="preserve"> </w:t>
      </w:r>
      <w:r>
        <w:t xml:space="preserve">— its structural proteins (notably centriolar tubulin) are not in rapid exchange with the cytoplasmic pool; the mechanisms maintaining this stability are now systematically reviewed (Biven &amp; Wang 2025,</w:t>
      </w:r>
      <w:r>
        <w:t xml:space="preserve"> </w:t>
      </w:r>
      <w:r>
        <w:rPr>
          <w:i/>
          <w:iCs/>
        </w:rPr>
        <w:t xml:space="preserve">J Biol Chem</w:t>
      </w:r>
      <w:r>
        <w:t xml:space="preserve">, PMID 41167311 —</w:t>
      </w:r>
      <w:r>
        <w:t xml:space="preserve"> </w:t>
      </w:r>
      <w:r>
        <w:t xml:space="preserve">“Mechanisms underlying centriole stability”</w:t>
      </w:r>
      <w:r>
        <w:t xml:space="preserve">); (2) the tubulin PTM code (polyglutamylation, detyrosination, Δ2-tubulin) is deposited</w:t>
      </w:r>
      <w:r>
        <w:t xml:space="preserve"> </w:t>
      </w:r>
      <w:r>
        <w:rPr>
          <w:b/>
          <w:bCs/>
        </w:rPr>
        <w:t xml:space="preserve">processively and irreversibly</w:t>
      </w:r>
      <w:r>
        <w:t xml:space="preserve"> </w:t>
      </w:r>
      <w:r>
        <w:t xml:space="preserve">on assembled microtubule arrays — the relevant enzymes (TTLL5/6, CCP5) act on polymerized tubulin, and Δ2-tubulin is a terminal, non-removable modification (recent code reviews: J Biomed Sci 2026, PMID 42083040; Adv Sci 2025, PMID 40433930); (3) the centriole therefore accumulates PTM entropy</w:t>
      </w:r>
      <w:r>
        <w:t xml:space="preserve"> </w:t>
      </w:r>
      <w:r>
        <w:rPr>
          <w:b/>
          <w:bCs/>
        </w:rPr>
        <w:t xml:space="preserve">because</w:t>
      </w:r>
      <w:r>
        <w:t xml:space="preserve"> </w:t>
      </w:r>
      <w:r>
        <w:t xml:space="preserve">its subunits are retained — this is precisely the CEDAR premise, now anchored in the stability literature. Empirical resolution is pre-registered: PTM mass spectrometry on aged vs. de novo centrioles (Proof D, §6.3) directly measures whether accumulation occurs on the retained scaffold.</w:t>
      </w:r>
    </w:p>
    <w:p>
      <w:pPr>
        <w:pStyle w:val="Heading3"/>
      </w:pPr>
      <w:r>
        <w:t xml:space="preserve">2.3 Centriole fate at fertilization is taxon-specific [E]</w:t>
      </w:r>
    </w:p>
    <w:p>
      <w:pPr>
        <w:jc w:val="both"/>
        <w:pStyle w:val="Compact"/>
        <w:numPr>
          <w:ilvl w:val="0"/>
          <w:numId w:val="1009"/>
        </w:numPr>
      </w:pPr>
      <w:r>
        <w:t xml:space="preserve">Developmental and tissue-specific roles of mammalian centrosomes are now comprehensively reviewed (Meyer-Gerards &amp; Bazzi 2025,</w:t>
      </w:r>
      <w:r>
        <w:t xml:space="preserve"> </w:t>
      </w:r>
      <w:r>
        <w:rPr>
          <w:i/>
          <w:iCs/>
        </w:rPr>
        <w:t xml:space="preserve">FEBS J</w:t>
      </w:r>
      <w:r>
        <w:t xml:space="preserve">, PMID 38935637) — consolidates the [E] claims in §2.3–2.4 and the tissue-specificity caveat (Januschke 2011 neuroblast counterexample).</w:t>
      </w:r>
    </w:p>
    <w:p>
      <w:pPr>
        <w:jc w:val="both"/>
        <w:pStyle w:val="Compact"/>
        <w:numPr>
          <w:ilvl w:val="0"/>
          <w:numId w:val="1009"/>
        </w:numPr>
      </w:pPr>
      <w:r>
        <w:t xml:space="preserve">Mouse oocytes lose centrioles during oogenesis (Simerly 2018, PMID 30143724; Schatten 2005, PMID 15385423).</w:t>
      </w:r>
    </w:p>
    <w:p>
      <w:pPr>
        <w:jc w:val="both"/>
        <w:pStyle w:val="Compact"/>
        <w:numPr>
          <w:ilvl w:val="0"/>
          <w:numId w:val="1009"/>
        </w:numPr>
      </w:pPr>
      <w:r>
        <w:t xml:space="preserve">Starfish eliminate mother and daughter centrioles by distinct mechanisms (Borrego-Pinto 2016, PMID 27002173); Drosophila via Polo/ANA1 (Pimenta-Marques 2016, PMID 27229142).</w:t>
      </w:r>
    </w:p>
    <w:p>
      <w:pPr>
        <w:jc w:val="both"/>
        <w:pStyle w:val="Compact"/>
        <w:numPr>
          <w:ilvl w:val="0"/>
          <w:numId w:val="1009"/>
        </w:numPr>
      </w:pPr>
      <w:r>
        <w:t xml:space="preserve">Avidor-Reiss &amp; Fishman (2019,</w:t>
      </w:r>
      <w:r>
        <w:t xml:space="preserve"> </w:t>
      </w:r>
      <w:r>
        <w:rPr>
          <w:i/>
          <w:iCs/>
        </w:rPr>
        <w:t xml:space="preserve">Reproduction</w:t>
      </w:r>
      <w:r>
        <w:t xml:space="preserve">, PMID 30496124): zygotes obtain two centrioles by diverse routes — paternal structures, maternal retention, or de novo.</w:t>
      </w:r>
    </w:p>
    <w:p>
      <w:pPr>
        <w:jc w:val="both"/>
        <w:pStyle w:val="Compact"/>
        <w:numPr>
          <w:ilvl w:val="0"/>
          <w:numId w:val="1009"/>
        </w:numPr>
      </w:pPr>
      <w:r>
        <w:rPr>
          <w:b/>
          <w:bCs/>
        </w:rPr>
        <w:t xml:space="preserve">Correction of earlier wording [v3.0→v4.0]:</w:t>
      </w:r>
      <w:r>
        <w:t xml:space="preserve"> </w:t>
      </w:r>
      <w:r>
        <w:t xml:space="preserve">there is</w:t>
      </w:r>
      <w:r>
        <w:t xml:space="preserve"> </w:t>
      </w:r>
      <w:r>
        <w:rPr>
          <w:b/>
          <w:bCs/>
        </w:rPr>
        <w:t xml:space="preserve">no universal</w:t>
      </w:r>
      <w:r>
        <w:rPr>
          <w:b/>
          <w:bCs/>
        </w:rPr>
        <w:t xml:space="preserve"> </w:t>
      </w:r>
      <w:r>
        <w:rPr>
          <w:b/>
          <w:bCs/>
        </w:rPr>
        <w:t xml:space="preserve">“sperm centriole = seed, not a template.”</w:t>
      </w:r>
      <w:r>
        <w:t xml:space="preserve"> </w:t>
      </w:r>
      <w:r>
        <w:t xml:space="preserve">A defensible statement is:</w:t>
      </w:r>
      <w:r>
        <w:t xml:space="preserve"> </w:t>
      </w:r>
      <w:r>
        <w:rPr>
          <w:i/>
          <w:iCs/>
        </w:rPr>
        <w:t xml:space="preserve">a paternal centriole or centriole-derived structure can provide a platform for subsequent centriole assembly in some taxa, whereas other metazoan systems rely substantially on de novo centriole formation.</w:t>
      </w:r>
    </w:p>
    <w:p>
      <w:pPr>
        <w:pStyle w:val="Heading3"/>
      </w:pPr>
      <w:r>
        <w:t xml:space="preserve">2.4 Asymmetric centrosome inheritance biases fate [E]</w:t>
      </w:r>
    </w:p>
    <w:p>
      <w:pPr>
        <w:jc w:val="both"/>
        <w:pStyle w:val="Compact"/>
        <w:numPr>
          <w:ilvl w:val="0"/>
          <w:numId w:val="1010"/>
        </w:numPr>
      </w:pPr>
      <w:r>
        <w:t xml:space="preserve">Yamashita et al. (2007,</w:t>
      </w:r>
      <w:r>
        <w:t xml:space="preserve"> </w:t>
      </w:r>
      <w:r>
        <w:rPr>
          <w:i/>
          <w:iCs/>
        </w:rPr>
        <w:t xml:space="preserve">Science</w:t>
      </w:r>
      <w:r>
        <w:t xml:space="preserve">, PMID 17255513); Wang et al. (2009,</w:t>
      </w:r>
      <w:r>
        <w:t xml:space="preserve"> </w:t>
      </w:r>
      <w:r>
        <w:rPr>
          <w:i/>
          <w:iCs/>
        </w:rPr>
        <w:t xml:space="preserve">Nature</w:t>
      </w:r>
      <w:r>
        <w:t xml:space="preserve">, PMID 19829375); Januschke et al. (2011, PMID 21407209); Barandun et al. (2025, PMID 39764850); Zhao et al. (2025, PMID 41315244); Chen &amp; Yamashita (2021, PMID 33435817).</w:t>
      </w:r>
    </w:p>
    <w:p>
      <w:pPr>
        <w:jc w:val="both"/>
        <w:pStyle w:val="Compact"/>
        <w:numPr>
          <w:ilvl w:val="0"/>
          <w:numId w:val="1010"/>
        </w:numPr>
      </w:pPr>
      <w:r>
        <w:rPr>
          <w:b/>
          <w:bCs/>
        </w:rPr>
        <w:t xml:space="preserve">Centrosome heterogeneity in stem cells regulates cell diversity (v7.6):</w:t>
      </w:r>
      <w:r>
        <w:t xml:space="preserve"> </w:t>
      </w:r>
      <w:r>
        <w:t xml:space="preserve">Camargo Ortega &amp; Götz (2022,</w:t>
      </w:r>
      <w:r>
        <w:t xml:space="preserve"> </w:t>
      </w:r>
      <w:r>
        <w:rPr>
          <w:i/>
          <w:iCs/>
        </w:rPr>
        <w:t xml:space="preserve">Trends Cell Biol</w:t>
      </w:r>
      <w:r>
        <w:t xml:space="preserve">, PMID 35750615) — consensus review on centrosome heterogeneity in stem cells; Bolkent (2024,</w:t>
      </w:r>
      <w:r>
        <w:t xml:space="preserve"> </w:t>
      </w:r>
      <w:r>
        <w:rPr>
          <w:i/>
          <w:iCs/>
        </w:rPr>
        <w:t xml:space="preserve">Genes to Cells</w:t>
      </w:r>
      <w:r>
        <w:t xml:space="preserve">, PMID 39379096) — mechanisms of asymmetric stem-cell division in tissue homeostasis. Both strengthen [E] status of the inheritance claim; an independent assessment of</w:t>
      </w:r>
      <w:r>
        <w:t xml:space="preserve"> </w:t>
      </w:r>
      <w:r>
        <w:t xml:space="preserve">“centrosomes regulate fate via MT organization and signaling (Hedgehog/Wnt)”</w:t>
      </w:r>
      <w:r>
        <w:t xml:space="preserve"> </w:t>
      </w:r>
      <w:r>
        <w:t xml:space="preserve">is consistent with, not contradictory to, CEDAR (cilium-mediated route H3/H8).</w:t>
      </w:r>
    </w:p>
    <w:p>
      <w:pPr>
        <w:jc w:val="both"/>
        <w:pStyle w:val="Compact"/>
        <w:numPr>
          <w:ilvl w:val="0"/>
          <w:numId w:val="1010"/>
        </w:numPr>
      </w:pPr>
      <w:r>
        <w:rPr>
          <w:b/>
          <w:bCs/>
        </w:rPr>
        <w:t xml:space="preserve">Cilium–aging axis (v7.5):</w:t>
      </w:r>
      <w:r>
        <w:t xml:space="preserve"> </w:t>
      </w:r>
      <w:r>
        <w:t xml:space="preserve">primary cilia shape the hallmarks of health and aging (Trends Mol Med review, 2023, PMID 37137787); a primary-cilia–autophagy axis in hippocampal neurons is essential to maintain cognitive resilience in aging (Nature Aging, 2025, PMID 39984747 — note: 2025, not 2024 as previously cited). Since the primary cilium is templated on the mother centriole, these findings independently strengthen the cilium-mediated route (H3, H8) — the cilium is the functional readout of centriole age.</w:t>
      </w:r>
    </w:p>
    <w:p>
      <w:pPr>
        <w:pStyle w:val="Heading3"/>
      </w:pPr>
      <w:r>
        <w:t xml:space="preserve">2.5 OSK partial reprogramming is an established organism-level benchmark [E]</w:t>
      </w:r>
    </w:p>
    <w:p>
      <w:pPr>
        <w:jc w:val="both"/>
        <w:pStyle w:val="Compact"/>
        <w:numPr>
          <w:ilvl w:val="0"/>
          <w:numId w:val="1011"/>
        </w:numPr>
      </w:pPr>
      <w:r>
        <w:t xml:space="preserve">Ocampo et al. (2016,</w:t>
      </w:r>
      <w:r>
        <w:t xml:space="preserve"> </w:t>
      </w:r>
      <w:r>
        <w:rPr>
          <w:i/>
          <w:iCs/>
        </w:rPr>
        <w:t xml:space="preserve">Cell</w:t>
      </w:r>
      <w:r>
        <w:t xml:space="preserve">, PMID 27984723); Lu et al. (2020,</w:t>
      </w:r>
      <w:r>
        <w:t xml:space="preserve"> </w:t>
      </w:r>
      <w:r>
        <w:rPr>
          <w:i/>
          <w:iCs/>
        </w:rPr>
        <w:t xml:space="preserve">Nature</w:t>
      </w:r>
      <w:r>
        <w:t xml:space="preserve">, PMID 33268865); Sahu et al. (2024, PMID 39259812); Zhang et al. (2026, PMID 41443352); Zielke &amp; Ryan (2026, PMID 41856040).</w:t>
      </w:r>
    </w:p>
    <w:p>
      <w:pPr>
        <w:jc w:val="both"/>
        <w:pStyle w:val="Compact"/>
        <w:numPr>
          <w:ilvl w:val="0"/>
          <w:numId w:val="1011"/>
        </w:numPr>
      </w:pPr>
      <w:r>
        <w:rPr>
          <w:b/>
          <w:bCs/>
        </w:rPr>
        <w:t xml:space="preserve">Level-of-evidence asymmetry (critical assessment):</w:t>
      </w:r>
      <w:r>
        <w:t xml:space="preserve"> </w:t>
      </w:r>
      <w:r>
        <w:t xml:space="preserve">OSK is an</w:t>
      </w:r>
      <w:r>
        <w:t xml:space="preserve"> </w:t>
      </w:r>
      <w:r>
        <w:rPr>
          <w:b/>
          <w:bCs/>
        </w:rPr>
        <w:t xml:space="preserve">organism-level, multiply replicated benchmark</w:t>
      </w:r>
      <w:r>
        <w:t xml:space="preserve"> </w:t>
      </w:r>
      <w:r>
        <w:t xml:space="preserve">(progeria, vision, lifespan in vivo); centriole reset is a</w:t>
      </w:r>
      <w:r>
        <w:t xml:space="preserve"> </w:t>
      </w:r>
      <w:r>
        <w:rPr>
          <w:b/>
          <w:bCs/>
        </w:rPr>
        <w:t xml:space="preserve">cell-level, unreplicated hypothesis</w:t>
      </w:r>
      <w:r>
        <w:t xml:space="preserve">. The 2×2 factorial compares them by design, but they are</w:t>
      </w:r>
      <w:r>
        <w:t xml:space="preserve"> </w:t>
      </w:r>
      <w:r>
        <w:rPr>
          <w:b/>
          <w:bCs/>
        </w:rPr>
        <w:t xml:space="preserve">never presented as evidence-equivalent</w:t>
      </w:r>
      <w:r>
        <w:t xml:space="preserve">: OSK is the reference, reset is the candidate.</w:t>
      </w:r>
    </w:p>
    <w:p>
      <w:pPr>
        <w:pStyle w:val="Heading3"/>
      </w:pPr>
      <w:r>
        <w:t xml:space="preserve">2.6 Germline remodeling vs. Hallmarks — precise wording [E→I]</w:t>
      </w:r>
    </w:p>
    <w:p>
      <w:pPr>
        <w:jc w:val="both"/>
        <w:pStyle w:val="BlockText"/>
      </w:pPr>
      <w:r>
        <w:t xml:space="preserve">Gametogenesis, fertilization and early embryogenesis are accompanied by extensive molecular and cellular remodeling that</w:t>
      </w:r>
      <w:r>
        <w:t xml:space="preserve"> </w:t>
      </w:r>
      <w:r>
        <w:rPr>
          <w:b/>
          <w:bCs/>
        </w:rPr>
        <w:t xml:space="preserve">overlaps conceptually</w:t>
      </w:r>
      <w:r>
        <w:t xml:space="preserve"> </w:t>
      </w:r>
      <w:r>
        <w:t xml:space="preserve">with several processes implicated in aging;</w:t>
      </w:r>
      <w:r>
        <w:t xml:space="preserve"> </w:t>
      </w:r>
      <w:r>
        <w:rPr>
          <w:b/>
          <w:bCs/>
        </w:rPr>
        <w:t xml:space="preserve">whether these processes constitute a coordinated rejuvenation program across the 12 Hallmarks remains unresolved</w:t>
      </w:r>
      <w:r>
        <w:t xml:space="preserve"> </w:t>
      </w:r>
      <w:r>
        <w:t xml:space="preserve">(López-Otín et al., 2013, PMID 23746838; 2023, PMID 36599349).</w:t>
      </w:r>
    </w:p>
    <w:p>
      <w:pPr>
        <w:pStyle w:val="Heading2"/>
      </w:pPr>
      <w:r>
        <w:t xml:space="preserve">3. The Causal Gap, Prior Direct Evidence, and the Causal Evidence Map</w:t>
      </w:r>
    </w:p>
    <w:p>
      <w:pPr>
        <w:jc w:val="both"/>
        <w:pStyle w:val="FirstParagraph"/>
      </w:pPr>
      <w:r>
        <w:t xml:space="preserve">The literature establishes:</w:t>
      </w:r>
      <w:r>
        <w:t xml:space="preserve"> </w:t>
      </w:r>
      <w:r>
        <w:rPr>
          <w:b/>
          <w:bCs/>
        </w:rPr>
        <w:t xml:space="preserve">centriole age → asymmetric inheritance / cell behavior</w:t>
      </w:r>
      <w:r>
        <w:t xml:space="preserve">. It does</w:t>
      </w:r>
      <w:r>
        <w:t xml:space="preserve"> </w:t>
      </w:r>
      <w:r>
        <w:rPr>
          <w:b/>
          <w:bCs/>
        </w:rPr>
        <w:t xml:space="preserve">not</w:t>
      </w:r>
      <w:r>
        <w:t xml:space="preserve"> </w:t>
      </w:r>
      <w:r>
        <w:t xml:space="preserve">establish:</w:t>
      </w:r>
      <w:r>
        <w:t xml:space="preserve"> </w:t>
      </w:r>
      <w:r>
        <w:rPr>
          <w:b/>
          <w:bCs/>
        </w:rPr>
        <w:t xml:space="preserve">centriole age → organismal aging</w:t>
      </w:r>
      <w:r>
        <w:t xml:space="preserve">, nor</w:t>
      </w:r>
      <w:r>
        <w:t xml:space="preserve"> </w:t>
      </w:r>
      <w:r>
        <w:rPr>
          <w:b/>
          <w:bCs/>
        </w:rPr>
        <w:t xml:space="preserve">centriole replacement → rejuvenation</w:t>
      </w:r>
      <w:r>
        <w:t xml:space="preserve">.</w:t>
      </w:r>
    </w:p>
    <w:p>
      <w:pPr>
        <w:pStyle w:val="Heading3"/>
      </w:pPr>
      <w:r>
        <w:t xml:space="preserve">3.1 Prior direct evidence — honest dialogue (evidence-based response)</w:t>
      </w:r>
    </w:p>
    <w:p>
      <w:pPr>
        <w:jc w:val="both"/>
        <w:pStyle w:val="FirstParagraph"/>
      </w:pPr>
      <w:r>
        <w:t xml:space="preserve">The claim</w:t>
      </w:r>
      <w:r>
        <w:t xml:space="preserve"> </w:t>
      </w:r>
      <w:r>
        <w:t xml:space="preserve">“no study has yet tested…”</w:t>
      </w:r>
      <w:r>
        <w:t xml:space="preserve"> </w:t>
      </w:r>
      <w:r>
        <w:t xml:space="preserve">is true for the</w:t>
      </w:r>
      <w:r>
        <w:t xml:space="preserve"> </w:t>
      </w:r>
      <w:r>
        <w:rPr>
          <w:i/>
          <w:iCs/>
        </w:rPr>
        <w:t xml:space="preserve">specific</w:t>
      </w:r>
      <w:r>
        <w:t xml:space="preserve"> </w:t>
      </w:r>
      <w:r>
        <w:t xml:space="preserve">combination (aging-phenotype readouts + verified de novo origin + OSK factorial), but two near-neighbor studies must be addressed explicitly, and both cut against simple expectations:</w:t>
      </w:r>
    </w:p>
    <w:p>
      <w:pPr>
        <w:jc w:val="both"/>
        <w:pStyle w:val="BodyText"/>
      </w:pPr>
      <w:r>
        <w:rPr>
          <w:b/>
          <w:bCs/>
        </w:rPr>
        <w:t xml:space="preserve">Wong et al. (2015,</w:t>
      </w:r>
      <w:r>
        <w:rPr>
          <w:b/>
          <w:bCs/>
        </w:rPr>
        <w:t xml:space="preserve"> </w:t>
      </w:r>
      <w:r>
        <w:rPr>
          <w:b/>
          <w:bCs/>
          <w:i/>
          <w:iCs/>
        </w:rPr>
        <w:t xml:space="preserve">Science</w:t>
      </w:r>
      <w:r>
        <w:rPr>
          <w:b/>
          <w:bCs/>
        </w:rPr>
        <w:t xml:space="preserve">, PMID 25931445).</w:t>
      </w:r>
      <w:r>
        <w:t xml:space="preserve"> </w:t>
      </w:r>
      <w:r>
        <w:t xml:space="preserve">Centrinone reversibly depletes centrioles.</w:t>
      </w:r>
      <w:r>
        <w:t xml:space="preserve"> </w:t>
      </w:r>
      <w:r>
        <w:rPr>
          <w:b/>
          <w:bCs/>
        </w:rPr>
        <w:t xml:space="preserve">Critically, the original abstract states: centrosome loss</w:t>
      </w:r>
      <w:r>
        <w:rPr>
          <w:b/>
          <w:bCs/>
        </w:rPr>
        <w:t xml:space="preserve"> </w:t>
      </w:r>
      <w:r>
        <w:rPr>
          <w:b/>
          <w:bCs/>
          <w:i/>
          <w:iCs/>
        </w:rPr>
        <w:t xml:space="preserve">irreversibly arrested normal cells</w:t>
      </w:r>
      <w:r>
        <w:rPr>
          <w:b/>
          <w:bCs/>
        </w:rPr>
        <w:t xml:space="preserve"> </w:t>
      </w:r>
      <w:r>
        <w:rPr>
          <w:b/>
          <w:bCs/>
        </w:rPr>
        <w:t xml:space="preserve">in a senescence-like G1 state by a p53-dependent mechanism; only</w:t>
      </w:r>
      <w:r>
        <w:rPr>
          <w:b/>
          <w:bCs/>
        </w:rPr>
        <w:t xml:space="preserve"> </w:t>
      </w:r>
      <w:r>
        <w:rPr>
          <w:b/>
          <w:bCs/>
          <w:i/>
          <w:iCs/>
        </w:rPr>
        <w:t xml:space="preserve">cancer cell lines</w:t>
      </w:r>
      <w:r>
        <w:rPr>
          <w:b/>
          <w:bCs/>
        </w:rPr>
        <w:t xml:space="preserve"> </w:t>
      </w:r>
      <w:r>
        <w:rPr>
          <w:b/>
          <w:bCs/>
        </w:rPr>
        <w:t xml:space="preserve">proliferated indefinitely after loss, and upon washout each cancer line returned to an intrinsic centrosome-number set point.</w:t>
      </w:r>
      <w:r>
        <w:t xml:space="preserve"> </w:t>
      </w:r>
      <w:r>
        <w:t xml:space="preserve">[E] Thus the</w:t>
      </w:r>
      <w:r>
        <w:t xml:space="preserve"> </w:t>
      </w:r>
      <w:r>
        <w:t xml:space="preserve">“elimination → recovery”</w:t>
      </w:r>
      <w:r>
        <w:t xml:space="preserve"> </w:t>
      </w:r>
      <w:r>
        <w:t xml:space="preserve">cycle has been demonstrated</w:t>
      </w:r>
      <w:r>
        <w:t xml:space="preserve"> </w:t>
      </w:r>
      <w:r>
        <w:rPr>
          <w:b/>
          <w:bCs/>
        </w:rPr>
        <w:t xml:space="preserve">only in transformed (p53-compromised) lines</w:t>
      </w:r>
      <w:r>
        <w:t xml:space="preserve">; in normal cells the outcome was irreversible p53-dependent arrest. This is a</w:t>
      </w:r>
      <w:r>
        <w:t xml:space="preserve"> </w:t>
      </w:r>
      <w:r>
        <w:rPr>
          <w:b/>
          <w:bCs/>
        </w:rPr>
        <w:t xml:space="preserve">central feasibility risk for Phase 1 of this protocol</w:t>
      </w:r>
      <w:r>
        <w:t xml:space="preserve"> </w:t>
      </w:r>
      <w:r>
        <w:t xml:space="preserve">(which uses untransformed fibroblasts): recovery after centriole loss in normal somatic cells is</w:t>
      </w:r>
      <w:r>
        <w:t xml:space="preserve"> </w:t>
      </w:r>
      <w:r>
        <w:rPr>
          <w:b/>
          <w:bCs/>
        </w:rPr>
        <w:t xml:space="preserve">an open empirical question to be demonstrated in Phase 1, not an established premise</w:t>
      </w:r>
      <w:r>
        <w:t xml:space="preserve">. This protocol adds: aging readouts, de novo-origin verification, and OSK factorial — none measured by Wong. Novelty is therefore not the cycle, but the aging-oriented, origin-verified, factorial evaluation</w:t>
      </w:r>
      <w:r>
        <w:t xml:space="preserve"> </w:t>
      </w:r>
      <w:r>
        <w:rPr>
          <w:b/>
          <w:bCs/>
        </w:rPr>
        <w:t xml:space="preserve">in untransformed cells, where the cycle is not yet established</w:t>
      </w:r>
      <w:r>
        <w:t xml:space="preserve">.</w:t>
      </w:r>
    </w:p>
    <w:p>
      <w:pPr>
        <w:jc w:val="both"/>
        <w:pStyle w:val="BodyText"/>
      </w:pPr>
      <w:r>
        <w:rPr>
          <w:b/>
          <w:bCs/>
        </w:rPr>
        <w:t xml:space="preserve">Tissue specificity of asymmetric inheritance (critical assessment).</w:t>
      </w:r>
      <w:r>
        <w:t xml:space="preserve"> </w:t>
      </w:r>
      <w:r>
        <w:t xml:space="preserve">The claim</w:t>
      </w:r>
      <w:r>
        <w:t xml:space="preserve"> </w:t>
      </w:r>
      <w:r>
        <w:t xml:space="preserve">“the ratchet is never released in the somatic stem-cell lineage”</w:t>
      </w:r>
      <w:r>
        <w:t xml:space="preserve"> </w:t>
      </w:r>
      <w:r>
        <w:t xml:space="preserve">is</w:t>
      </w:r>
      <w:r>
        <w:t xml:space="preserve"> </w:t>
      </w:r>
      <w:r>
        <w:rPr>
          <w:b/>
          <w:bCs/>
        </w:rPr>
        <w:t xml:space="preserve">not universal even within one organism</w:t>
      </w:r>
      <w:r>
        <w:t xml:space="preserve">: in</w:t>
      </w:r>
      <w:r>
        <w:t xml:space="preserve"> </w:t>
      </w:r>
      <w:r>
        <w:rPr>
          <w:i/>
          <w:iCs/>
        </w:rPr>
        <w:t xml:space="preserve">Drosophila</w:t>
      </w:r>
      <w:r>
        <w:t xml:space="preserve"> </w:t>
      </w:r>
      <w:r>
        <w:t xml:space="preserve">GSC, the mother centrosome is retained by the stem cell (Yamashita 2007); in</w:t>
      </w:r>
      <w:r>
        <w:t xml:space="preserve"> </w:t>
      </w:r>
      <w:r>
        <w:rPr>
          <w:i/>
          <w:iCs/>
        </w:rPr>
        <w:t xml:space="preserve">Drosophila</w:t>
      </w:r>
      <w:r>
        <w:t xml:space="preserve"> </w:t>
      </w:r>
      <w:r>
        <w:rPr>
          <w:b/>
          <w:bCs/>
        </w:rPr>
        <w:t xml:space="preserve">neuroblasts, the daughter centrosome is retained by the stem cell and the mother centrosome goes to the differentiating GMC</w:t>
      </w:r>
      <w:r>
        <w:t xml:space="preserve"> </w:t>
      </w:r>
      <w:r>
        <w:t xml:space="preserve">(Januschke et al., 2011,</w:t>
      </w:r>
      <w:r>
        <w:t xml:space="preserve"> </w:t>
      </w:r>
      <w:r>
        <w:rPr>
          <w:i/>
          <w:iCs/>
        </w:rPr>
        <w:t xml:space="preserve">Nature Communications</w:t>
      </w:r>
      <w:r>
        <w:t xml:space="preserve">, PMID 21407209; Salzmann et al., 2014). The direction is</w:t>
      </w:r>
      <w:r>
        <w:t xml:space="preserve"> </w:t>
      </w:r>
      <w:r>
        <w:rPr>
          <w:b/>
          <w:bCs/>
        </w:rPr>
        <w:t xml:space="preserve">tissue-specific, not universal</w:t>
      </w:r>
      <w:r>
        <w:t xml:space="preserve">. This protocol’s Phase 1 uses fibroblasts — a non-polarized, non-niche somatic cell in which the GSC-like vs. neuroblast-like classification is</w:t>
      </w:r>
      <w:r>
        <w:t xml:space="preserve"> </w:t>
      </w:r>
      <w:r>
        <w:rPr>
          <w:b/>
          <w:bCs/>
        </w:rPr>
        <w:t xml:space="preserve">not applicable by definition</w:t>
      </w:r>
      <w:r>
        <w:t xml:space="preserve"> </w:t>
      </w:r>
      <w:r>
        <w:t xml:space="preserve">(fibroblasts do not undergo asymmetric centrosome inheritance). The retention mechanism (§4.2a-6) is therefore presented as</w:t>
      </w:r>
      <w:r>
        <w:t xml:space="preserve"> </w:t>
      </w:r>
      <w:r>
        <w:rPr>
          <w:b/>
          <w:bCs/>
        </w:rPr>
        <w:t xml:space="preserve">cell-type-contingent</w:t>
      </w:r>
      <w:r>
        <w:t xml:space="preserve">, and the ratchet claim is restricted to systems with demonstrated asymmetric inheritance. Counterexamples are registered, not omitted.</w:t>
      </w:r>
    </w:p>
    <w:p>
      <w:pPr>
        <w:jc w:val="both"/>
        <w:pStyle w:val="BodyText"/>
      </w:pPr>
      <w:r>
        <w:rPr>
          <w:b/>
          <w:bCs/>
        </w:rPr>
        <w:t xml:space="preserve">Renzova et al. (2018,</w:t>
      </w:r>
      <w:r>
        <w:rPr>
          <w:b/>
          <w:bCs/>
        </w:rPr>
        <w:t xml:space="preserve"> </w:t>
      </w:r>
      <w:r>
        <w:rPr>
          <w:b/>
          <w:bCs/>
          <w:i/>
          <w:iCs/>
        </w:rPr>
        <w:t xml:space="preserve">Stem Cell Reports</w:t>
      </w:r>
      <w:r>
        <w:rPr>
          <w:b/>
          <w:bCs/>
        </w:rPr>
        <w:t xml:space="preserve">, PMID 30197118).</w:t>
      </w:r>
      <w:r>
        <w:t xml:space="preserve"> </w:t>
      </w:r>
      <w:r>
        <w:t xml:space="preserve">PLK4–STIL inactivation in human pluripotent stem cells (hESC/iPSC) causes centrosome loss → p53 stabilization → loss of self-renewal and differentiation. [E] This is the closest published experiment, and its result</w:t>
      </w:r>
      <w:r>
        <w:t xml:space="preserve"> </w:t>
      </w:r>
      <w:r>
        <w:rPr>
          <w:b/>
          <w:bCs/>
        </w:rPr>
        <w:t xml:space="preserve">prima facie opposes H2</w:t>
      </w:r>
      <w:r>
        <w:t xml:space="preserve"> </w:t>
      </w:r>
      <w:r>
        <w:t xml:space="preserve">in pluripotent cells. The protocol must explain why a different outcome is expected in the proposed design — see §4.2. This is the most serious prior-evidence issue and is addressed head-on, not cited around.</w:t>
      </w:r>
    </w:p>
    <w:p>
      <w:pPr>
        <w:pStyle w:val="Heading3"/>
      </w:pPr>
      <w:r>
        <w:t xml:space="preserve">3.2 Systematic evidence map (evidence synthesis, not quantitative meta-analysis — no comparable trials exist)</w:t>
      </w:r>
    </w:p>
    <w:tbl>
      <w:tblPr>
        <w:tblStyle w:val="Table"/>
        <w:tblW w:w="9026" w:type="dxa"/>
        <w:tblLayout w:type="fixed"/>
        <w:tblLook w:firstRow="1" w:lastRow="0" w:firstColumn="0" w:lastColumn="0" w:noHBand="0" w:noVBand="0" w:val="0020"/>
        <w:jc w:val="center"/>
      </w:tblPr>
      <w:tblGrid>
        <w:gridCol w:w="5720"/>
        <w:gridCol w:w="2200"/>
      </w:tblGrid>
      <w:tr>
        <w:trPr>
          <w:tblHeader w:val="on"/>
        </w:trPr>
        <w:tc>
          <w:tcPr/>
          <w:p>
            <w:pPr>
              <w:jc w:val="both"/>
              <w:pStyle w:val="Compact"/>
            </w:pPr>
            <w:r>
              <w:t xml:space="preserve">Causal link</w:t>
            </w:r>
          </w:p>
        </w:tc>
        <w:tc>
          <w:tcPr/>
          <w:p>
            <w:pPr>
              <w:jc w:val="both"/>
              <w:pStyle w:val="Compact"/>
            </w:pPr>
            <w:r>
              <w:t xml:space="preserve">Status</w:t>
            </w:r>
          </w:p>
        </w:tc>
      </w:tr>
      <w:tr>
        <w:tc>
          <w:tcPr/>
          <w:p>
            <w:pPr>
              <w:jc w:val="both"/>
              <w:pStyle w:val="Compact"/>
            </w:pPr>
            <w:r>
              <w:t xml:space="preserve">A. Centriole elimination is programmable</w:t>
            </w:r>
          </w:p>
        </w:tc>
        <w:tc>
          <w:tcPr/>
          <w:p>
            <w:pPr>
              <w:jc w:val="both"/>
              <w:pStyle w:val="Compact"/>
            </w:pPr>
            <w:r>
              <w:rPr>
                <w:sz w:val="18"/>
                <w:szCs w:val="18"/>
                <w:b/>
                <w:bCs/>
              </w:rPr>
              <w:t xml:space="preserve">Established</w:t>
            </w:r>
          </w:p>
        </w:tc>
      </w:tr>
      <w:tr>
        <w:tc>
          <w:tcPr/>
          <w:p>
            <w:pPr>
              <w:jc w:val="both"/>
              <w:pStyle w:val="Compact"/>
            </w:pPr>
            <w:r>
              <w:t xml:space="preserve">B. De novo biogenesis is inducible</w:t>
            </w:r>
          </w:p>
        </w:tc>
        <w:tc>
          <w:tcPr/>
          <w:p>
            <w:pPr>
              <w:jc w:val="both"/>
              <w:pStyle w:val="Compact"/>
            </w:pPr>
            <w:r>
              <w:rPr>
                <w:b/>
                <w:bCs/>
              </w:rPr>
              <w:t xml:space="preserve">Established</w:t>
            </w:r>
          </w:p>
        </w:tc>
      </w:tr>
      <w:tr>
        <w:tc>
          <w:tcPr/>
          <w:p>
            <w:pPr>
              <w:jc w:val="both"/>
              <w:pStyle w:val="Compact"/>
            </w:pPr>
            <w:r>
              <w:t xml:space="preserve">C. Asymmetric centrosome inheritance affects stem-cell behavior</w:t>
            </w:r>
          </w:p>
        </w:tc>
        <w:tc>
          <w:tcPr/>
          <w:p>
            <w:pPr>
              <w:jc w:val="both"/>
              <w:pStyle w:val="Compact"/>
            </w:pPr>
            <w:r>
              <w:rPr>
                <w:b/>
                <w:bCs/>
              </w:rPr>
              <w:t xml:space="preserve">Supported</w:t>
            </w:r>
          </w:p>
        </w:tc>
      </w:tr>
      <w:tr>
        <w:tc>
          <w:tcPr/>
          <w:p>
            <w:pPr>
              <w:jc w:val="both"/>
              <w:pStyle w:val="Compact"/>
            </w:pPr>
            <w:r>
              <w:t xml:space="preserve">D. Centrosomal region participates in senescence signaling</w:t>
            </w:r>
          </w:p>
        </w:tc>
        <w:tc>
          <w:tcPr/>
          <w:p>
            <w:pPr>
              <w:jc w:val="both"/>
              <w:pStyle w:val="Compact"/>
            </w:pPr>
            <w:r>
              <w:rPr>
                <w:b/>
                <w:bCs/>
              </w:rPr>
              <w:t xml:space="preserve">Indirect</w:t>
            </w:r>
            <w:r>
              <w:t xml:space="preserve"> </w:t>
            </w:r>
            <w:r>
              <w:t xml:space="preserve">(Robichaud 2024, PMID 39266565)</w:t>
            </w:r>
          </w:p>
        </w:tc>
      </w:tr>
      <w:tr>
        <w:tc>
          <w:tcPr/>
          <w:p>
            <w:pPr>
              <w:jc w:val="both"/>
              <w:pStyle w:val="Compact"/>
            </w:pPr>
            <w:r>
              <w:t xml:space="preserve">E. Centriole over-elongation occurs in pathology</w:t>
            </w:r>
          </w:p>
        </w:tc>
        <w:tc>
          <w:tcPr/>
          <w:p>
            <w:pPr>
              <w:jc w:val="both"/>
              <w:pStyle w:val="Compact"/>
            </w:pPr>
            <w:r>
              <w:rPr>
                <w:b/>
                <w:bCs/>
              </w:rPr>
              <w:t xml:space="preserve">Established but disease-specific</w:t>
            </w:r>
            <w:r>
              <w:t xml:space="preserve"> </w:t>
            </w:r>
            <w:r>
              <w:t xml:space="preserve">(Köhrer 2023,</w:t>
            </w:r>
            <w:r>
              <w:t xml:space="preserve"> </w:t>
            </w:r>
            <w:r>
              <w:rPr>
                <w:i/>
                <w:iCs/>
              </w:rPr>
              <w:t xml:space="preserve">Leukemia</w:t>
            </w:r>
            <w:r>
              <w:t xml:space="preserve">, PMID 37821581 — plasma cell disorders;</w:t>
            </w:r>
            <w:r>
              <w:t xml:space="preserve"> </w:t>
            </w:r>
            <w:r>
              <w:rPr>
                <w:b/>
                <w:bCs/>
              </w:rPr>
              <w:t xml:space="preserve">whether analogous changes accumulate in physiological aging remains undetermined</w:t>
            </w:r>
            <w:r>
              <w:t xml:space="preserve">)</w:t>
            </w:r>
          </w:p>
        </w:tc>
      </w:tr>
      <w:tr>
        <w:tc>
          <w:tcPr/>
          <w:p>
            <w:pPr>
              <w:jc w:val="both"/>
              <w:pStyle w:val="Compact"/>
            </w:pPr>
            <w:r>
              <w:t xml:space="preserve">F. Centriole damage → biological aging</w:t>
            </w:r>
          </w:p>
        </w:tc>
        <w:tc>
          <w:tcPr/>
          <w:p>
            <w:pPr>
              <w:jc w:val="both"/>
              <w:pStyle w:val="Compact"/>
            </w:pPr>
            <w:r>
              <w:rPr>
                <w:b/>
                <w:bCs/>
              </w:rPr>
              <w:t xml:space="preserve">Speculative</w:t>
            </w:r>
            <w:r>
              <w:t xml:space="preserve"> </w:t>
            </w:r>
            <w:r>
              <w:t xml:space="preserve">(CEDAR hypothesis)</w:t>
            </w:r>
          </w:p>
        </w:tc>
      </w:tr>
      <w:tr>
        <w:tc>
          <w:tcPr/>
          <w:p>
            <w:pPr>
              <w:jc w:val="both"/>
              <w:pStyle w:val="Compact"/>
            </w:pPr>
            <w:r>
              <w:t xml:space="preserve">G. Centriole replacement → rejuvenation</w:t>
            </w:r>
          </w:p>
        </w:tc>
        <w:tc>
          <w:tcPr/>
          <w:p>
            <w:pPr>
              <w:jc w:val="both"/>
              <w:pStyle w:val="Compact"/>
            </w:pPr>
            <w:r>
              <w:rPr>
                <w:b/>
                <w:bCs/>
              </w:rPr>
              <w:t xml:space="preserve">Untested</w:t>
            </w:r>
          </w:p>
        </w:tc>
      </w:tr>
      <w:tr>
        <w:tc>
          <w:tcPr/>
          <w:p>
            <w:pPr>
              <w:jc w:val="both"/>
              <w:pStyle w:val="Compact"/>
            </w:pPr>
            <w:r>
              <w:t xml:space="preserve">H. Centriole reset → multiple hallmarks simultaneously</w:t>
            </w:r>
          </w:p>
        </w:tc>
        <w:tc>
          <w:tcPr/>
          <w:p>
            <w:pPr>
              <w:jc w:val="both"/>
              <w:pStyle w:val="Compact"/>
            </w:pPr>
            <w:r>
              <w:rPr>
                <w:b/>
                <w:bCs/>
              </w:rPr>
              <w:t xml:space="preserve">Untested</w:t>
            </w:r>
          </w:p>
        </w:tc>
      </w:tr>
      <w:tr>
        <w:tc>
          <w:tcPr/>
          <w:p>
            <w:pPr>
              <w:jc w:val="both"/>
              <w:pStyle w:val="Compact"/>
            </w:pPr>
            <w:r>
              <w:t xml:space="preserve">I. Centriole reset → organismal rejuvenation</w:t>
            </w:r>
          </w:p>
        </w:tc>
        <w:tc>
          <w:tcPr/>
          <w:p>
            <w:pPr>
              <w:jc w:val="both"/>
              <w:pStyle w:val="Compact"/>
            </w:pPr>
            <w:r>
              <w:rPr>
                <w:b/>
                <w:bCs/>
              </w:rPr>
              <w:t xml:space="preserve">Untested</w:t>
            </w:r>
          </w:p>
        </w:tc>
      </w:tr>
    </w:tbl>
    <w:p>
      <w:pPr>
        <w:pStyle w:val="Heading3"/>
      </w:pPr>
      <w:r>
        <w:t xml:space="preserve">3.2b Quantitative meta-analysis plan (per earlier review)</w:t>
      </w:r>
    </w:p>
    <w:p>
      <w:pPr>
        <w:jc w:val="both"/>
        <w:pStyle w:val="FirstParagraph"/>
      </w:pPr>
      <w:r>
        <w:t xml:space="preserve">Where quantitatively comparable outcomes exist across prototypes, a formal meta-analysis is planned (not just an evidence map):</w:t>
      </w:r>
    </w:p>
    <w:p>
      <w:pPr>
        <w:jc w:val="both"/>
        <w:pStyle w:val="Compact"/>
        <w:numPr>
          <w:ilvl w:val="0"/>
          <w:numId w:val="1012"/>
        </w:numPr>
      </w:pPr>
      <w:r>
        <w:rPr>
          <w:b/>
          <w:bCs/>
        </w:rPr>
        <w:t xml:space="preserve">Outcome:</w:t>
      </w:r>
      <w:r>
        <w:t xml:space="preserve"> </w:t>
      </w:r>
      <w:r>
        <w:t xml:space="preserve">centrosome-loss checkpoint passage/arrest rate (the p53/PIDDosome arrest fraction) — comparable across Uetake 2007 (RPE1), Mikule 2007 (RPE1 + tumor lines), Bazzi 2014 (mouse embryo), Wong 2015 (normal vs. cancer lines).</w:t>
      </w:r>
    </w:p>
    <w:p>
      <w:pPr>
        <w:jc w:val="both"/>
        <w:pStyle w:val="Compact"/>
        <w:numPr>
          <w:ilvl w:val="0"/>
          <w:numId w:val="1012"/>
        </w:numPr>
      </w:pPr>
      <w:r>
        <w:rPr>
          <w:b/>
          <w:bCs/>
        </w:rPr>
        <w:t xml:space="preserve">Estimator:</w:t>
      </w:r>
      <w:r>
        <w:t xml:space="preserve"> </w:t>
      </w:r>
      <w:r>
        <w:t xml:space="preserve">random-effects (DerSimonian–Laird) proportion meta-analysis; I² heterogeneity; forest plot.</w:t>
      </w:r>
    </w:p>
    <w:p>
      <w:pPr>
        <w:jc w:val="both"/>
        <w:pStyle w:val="Compact"/>
        <w:numPr>
          <w:ilvl w:val="0"/>
          <w:numId w:val="1012"/>
        </w:numPr>
      </w:pPr>
      <w:r>
        <w:rPr>
          <w:b/>
          <w:bCs/>
        </w:rPr>
        <w:t xml:space="preserve">Limitation (pre-specified):</w:t>
      </w:r>
      <w:r>
        <w:t xml:space="preserve"> </w:t>
      </w:r>
      <w:r>
        <w:t xml:space="preserve">n = 4–6 studies is small; the analysis is</w:t>
      </w:r>
      <w:r>
        <w:t xml:space="preserve"> </w:t>
      </w:r>
      <w:r>
        <w:rPr>
          <w:b/>
          <w:bCs/>
        </w:rPr>
        <w:t xml:space="preserve">descriptive of heterogeneity</w:t>
      </w:r>
      <w:r>
        <w:t xml:space="preserve">, not confirmatory; individual-study definitions of</w:t>
      </w:r>
      <w:r>
        <w:t xml:space="preserve"> </w:t>
      </w:r>
      <w:r>
        <w:t xml:space="preserve">“arrest”</w:t>
      </w:r>
      <w:r>
        <w:t xml:space="preserve"> </w:t>
      </w:r>
      <w:r>
        <w:t xml:space="preserve">differ (G1 arrest vs. apoptosis vs. senescence-like) — subgrouping by assay.</w:t>
      </w:r>
    </w:p>
    <w:p>
      <w:pPr>
        <w:jc w:val="both"/>
        <w:pStyle w:val="Compact"/>
        <w:numPr>
          <w:ilvl w:val="0"/>
          <w:numId w:val="1012"/>
        </w:numPr>
      </w:pPr>
      <w:r>
        <w:rPr>
          <w:b/>
          <w:bCs/>
        </w:rPr>
        <w:t xml:space="preserve">Status:</w:t>
      </w:r>
      <w:r>
        <w:t xml:space="preserve"> </w:t>
      </w:r>
      <w:r>
        <w:t xml:space="preserve">data extraction in progress at the time of writing; the analysis is deposited with the SAP (OSF) before any Phase 1 data.</w:t>
      </w:r>
    </w:p>
    <w:p>
      <w:pPr>
        <w:pStyle w:val="Heading3"/>
      </w:pPr>
      <w:r>
        <w:t xml:space="preserve">3.3 Novelty statement (per review — dialogue, not</w:t>
      </w:r>
      <w:r>
        <w:t xml:space="preserve"> </w:t>
      </w:r>
      <w:r>
        <w:t xml:space="preserve">“first”</w:t>
      </w:r>
      <w:r>
        <w:t xml:space="preserve">)</w:t>
      </w:r>
    </w:p>
    <w:p>
      <w:pPr>
        <w:jc w:val="both"/>
        <w:pStyle w:val="BlockText"/>
      </w:pPr>
      <w:r>
        <w:rPr>
          <w:b/>
          <w:bCs/>
        </w:rPr>
        <w:t xml:space="preserve">To our knowledge, no study has yet directly tested whether controlled centriole elimination followed by bona fide de novo biogenesis — with four independent proofs of de novo origin — produces OSK-independent improvements in defined cellular aging phenotypes (CRCS) in somatic cells.</w:t>
      </w:r>
      <w:r>
        <w:t xml:space="preserve"> </w:t>
      </w:r>
      <w:r>
        <w:t xml:space="preserve">Wong 2015 restored proliferation without aging readouts; Renzova 2018 showed differentiation upon acute loss in pluripotent cells (discussed in §4.2). The present program bridges the gap between these two results. (Systematic search re-verified before submission:</w:t>
      </w:r>
      <w:r>
        <w:t xml:space="preserve"> </w:t>
      </w:r>
      <w:r>
        <w:rPr>
          <w:rStyle w:val="VerbatimChar"/>
        </w:rPr>
        <w:t xml:space="preserve">centriole elimination AND rejuvenation</w:t>
      </w:r>
      <w:r>
        <w:t xml:space="preserve"> </w:t>
      </w:r>
      <w:r>
        <w:t xml:space="preserve">→ 0 hits;</w:t>
      </w:r>
      <w:r>
        <w:t xml:space="preserve"> </w:t>
      </w:r>
      <w:r>
        <w:rPr>
          <w:rStyle w:val="VerbatimChar"/>
        </w:rPr>
        <w:t xml:space="preserve">centrinone AND rejuvenation</w:t>
      </w:r>
      <w:r>
        <w:t xml:space="preserve"> </w:t>
      </w:r>
      <w:r>
        <w:t xml:space="preserve">→ 0;</w:t>
      </w:r>
      <w:r>
        <w:t xml:space="preserve"> </w:t>
      </w:r>
      <w:r>
        <w:rPr>
          <w:rStyle w:val="VerbatimChar"/>
        </w:rPr>
        <w:t xml:space="preserve">de novo centriole AND rejuvenation</w:t>
      </w:r>
      <w:r>
        <w:t xml:space="preserve"> </w:t>
      </w:r>
      <w:r>
        <w:t xml:space="preserve">→ 0.)</w:t>
      </w:r>
    </w:p>
    <w:p>
      <w:pPr>
        <w:pStyle w:val="Heading3"/>
      </w:pPr>
      <w:r>
        <w:t xml:space="preserve">3.4 Extended review: all</w:t>
      </w:r>
      <w:r>
        <w:t xml:space="preserve"> </w:t>
      </w:r>
      <w:r>
        <w:t xml:space="preserve">“elimination → recovery”</w:t>
      </w:r>
      <w:r>
        <w:t xml:space="preserve"> </w:t>
      </w:r>
      <w:r>
        <w:t xml:space="preserve">experiments (critical assessment)</w:t>
      </w:r>
    </w:p>
    <w:p>
      <w:pPr>
        <w:jc w:val="both"/>
        <w:pStyle w:val="FirstParagraph"/>
      </w:pPr>
      <w:r>
        <w:t xml:space="preserve">Systematic search (PubMed, 2026-08-11) identified</w:t>
      </w:r>
      <w:r>
        <w:t xml:space="preserve"> </w:t>
      </w:r>
      <w:r>
        <w:rPr>
          <w:b/>
          <w:bCs/>
        </w:rPr>
        <w:t xml:space="preserve">12 experiments</w:t>
      </w:r>
      <w:r>
        <w:t xml:space="preserve"> </w:t>
      </w:r>
      <w:r>
        <w:t xml:space="preserve">that eliminated centrosomes/centrioles and examined recovery. They divide into four families:</w:t>
      </w:r>
    </w:p>
    <w:p>
      <w:pPr>
        <w:jc w:val="both"/>
        <w:pStyle w:val="BodyText"/>
      </w:pPr>
      <w:r>
        <w:rPr>
          <w:b/>
          <w:bCs/>
        </w:rPr>
        <w:t xml:space="preserve">Family 1 — Physical ablation (laser/microsurgery): the de novo pathway was defined here</w:t>
      </w:r>
    </w:p>
    <w:tbl>
      <w:tblPr>
        <w:tblStyle w:val="Table"/>
        <w:tblW w:w="9026" w:type="dxa"/>
        <w:tblLayout w:type="fixed"/>
        <w:tblLook w:firstRow="1" w:lastRow="0" w:firstColumn="0" w:lastColumn="0" w:noHBand="0" w:noVBand="0" w:val="0020"/>
        <w:jc w:val="center"/>
      </w:tblPr>
      <w:tblGrid>
        <w:gridCol w:w="866"/>
        <w:gridCol w:w="990"/>
        <w:gridCol w:w="3836"/>
        <w:gridCol w:w="2227"/>
      </w:tblGrid>
      <w:tr>
        <w:trPr>
          <w:tblHeader w:val="on"/>
        </w:trPr>
        <w:tc>
          <w:tcPr/>
          <w:p>
            <w:pPr>
              <w:jc w:val="both"/>
              <w:pStyle w:val="Compact"/>
            </w:pPr>
            <w:r>
              <w:t xml:space="preserve">Study</w:t>
            </w:r>
          </w:p>
        </w:tc>
        <w:tc>
          <w:tcPr/>
          <w:p>
            <w:pPr>
              <w:jc w:val="both"/>
              <w:pStyle w:val="Compact"/>
            </w:pPr>
            <w:r>
              <w:t xml:space="preserve">System</w:t>
            </w:r>
          </w:p>
        </w:tc>
        <w:tc>
          <w:tcPr/>
          <w:p>
            <w:pPr>
              <w:jc w:val="both"/>
              <w:pStyle w:val="Compact"/>
            </w:pPr>
            <w:r>
              <w:t xml:space="preserve">What happened after elimination</w:t>
            </w:r>
          </w:p>
        </w:tc>
        <w:tc>
          <w:tcPr/>
          <w:p>
            <w:pPr>
              <w:jc w:val="both"/>
              <w:pStyle w:val="Compact"/>
            </w:pPr>
            <w:r>
              <w:t xml:space="preserve">Recovery outcome</w:t>
            </w:r>
          </w:p>
        </w:tc>
      </w:tr>
      <w:tr>
        <w:tc>
          <w:tcPr/>
          <w:p>
            <w:pPr>
              <w:jc w:val="both"/>
              <w:pStyle w:val="Compact"/>
            </w:pPr>
            <w:r>
              <w:rPr>
                <w:sz w:val="18"/>
                <w:szCs w:val="18"/>
                <w:b/>
                <w:bCs/>
              </w:rPr>
              <w:t xml:space="preserve">Khodjakov et al. 2002</w:t>
            </w:r>
            <w:r>
              <w:t xml:space="preserve"> </w:t>
            </w:r>
            <w:r>
              <w:t xml:space="preserve">(JCB 158:1171–1181, PMID 12356862)</w:t>
            </w:r>
          </w:p>
        </w:tc>
        <w:tc>
          <w:tcPr/>
          <w:p>
            <w:pPr>
              <w:jc w:val="both"/>
              <w:pStyle w:val="Compact"/>
            </w:pPr>
            <w:r>
              <w:t xml:space="preserve">BSC-1 (monkey fibroblasts), laser ablation in S-phase</w:t>
            </w:r>
          </w:p>
        </w:tc>
        <w:tc>
          <w:tcPr/>
          <w:p>
            <w:pPr>
              <w:jc w:val="both"/>
              <w:pStyle w:val="Compact"/>
            </w:pPr>
            <w:r>
              <w:t xml:space="preserve">Acentriolar cells arrest; some assemble de novo centrosomes (γ-tubulin, pericentrin) from cytoplasm</w:t>
            </w:r>
          </w:p>
        </w:tc>
        <w:tc>
          <w:tcPr/>
          <w:p>
            <w:pPr>
              <w:jc w:val="both"/>
              <w:pStyle w:val="Compact"/>
            </w:pPr>
            <w:r>
              <w:t xml:space="preserve">De novo assembly possible;</w:t>
            </w:r>
            <w:r>
              <w:t xml:space="preserve"> </w:t>
            </w:r>
            <w:r>
              <w:rPr>
                <w:b/>
                <w:bCs/>
              </w:rPr>
              <w:t xml:space="preserve">one surviving centrosome suppresses the pathway</w:t>
            </w:r>
            <w:r>
              <w:t xml:space="preserve"> </w:t>
            </w:r>
            <w:r>
              <w:t xml:space="preserve">— complete removal required</w:t>
            </w:r>
          </w:p>
        </w:tc>
      </w:tr>
      <w:tr>
        <w:tc>
          <w:tcPr/>
          <w:p>
            <w:pPr>
              <w:jc w:val="both"/>
              <w:pStyle w:val="Compact"/>
            </w:pPr>
            <w:r>
              <w:rPr>
                <w:b/>
                <w:bCs/>
              </w:rPr>
              <w:t xml:space="preserve">La Terra et al. 2005</w:t>
            </w:r>
            <w:r>
              <w:t xml:space="preserve"> </w:t>
            </w:r>
            <w:r>
              <w:t xml:space="preserve">(JCB 168:713–722, PMID 15738265)</w:t>
            </w:r>
          </w:p>
        </w:tc>
        <w:tc>
          <w:tcPr/>
          <w:p>
            <w:pPr>
              <w:jc w:val="both"/>
              <w:pStyle w:val="Compact"/>
            </w:pPr>
            <w:r>
              <w:t xml:space="preserve">HeLa, microsurgical removal in S</w:t>
            </w:r>
          </w:p>
        </w:tc>
        <w:tc>
          <w:tcPr/>
          <w:p>
            <w:pPr>
              <w:jc w:val="both"/>
              <w:pStyle w:val="Compact"/>
            </w:pPr>
            <w:r>
              <w:t xml:space="preserve">Cells progress through G1→S; de novo assembly in a subset</w:t>
            </w:r>
          </w:p>
        </w:tc>
        <w:tc>
          <w:tcPr/>
          <w:p>
            <w:pPr>
              <w:jc w:val="both"/>
              <w:pStyle w:val="Compact"/>
            </w:pPr>
            <w:r>
              <w:t xml:space="preserve">Pathway is</w:t>
            </w:r>
            <w:r>
              <w:t xml:space="preserve"> </w:t>
            </w:r>
            <w:r>
              <w:t xml:space="preserve">“derepressed”</w:t>
            </w:r>
            <w:r>
              <w:t xml:space="preserve"> </w:t>
            </w:r>
            <w:r>
              <w:t xml:space="preserve">only in fully acentriolar cells; recovery restores normal cycling</w:t>
            </w:r>
          </w:p>
        </w:tc>
      </w:tr>
      <w:tr>
        <w:tc>
          <w:tcPr/>
          <w:p>
            <w:pPr>
              <w:jc w:val="both"/>
              <w:pStyle w:val="Compact"/>
            </w:pPr>
            <w:r>
              <w:rPr>
                <w:b/>
                <w:bCs/>
              </w:rPr>
              <w:t xml:space="preserve">Uetake et al. 2007</w:t>
            </w:r>
            <w:r>
              <w:t xml:space="preserve"> </w:t>
            </w:r>
            <w:r>
              <w:t xml:space="preserve">(JCB 176:173–182, PMID 17227892)</w:t>
            </w:r>
          </w:p>
        </w:tc>
        <w:tc>
          <w:tcPr/>
          <w:p>
            <w:pPr>
              <w:jc w:val="both"/>
              <w:pStyle w:val="Compact"/>
            </w:pPr>
            <w:r>
              <w:rPr>
                <w:b/>
                <w:bCs/>
              </w:rPr>
              <w:t xml:space="preserve">Untransformed RPE1</w:t>
            </w:r>
          </w:p>
        </w:tc>
        <w:tc>
          <w:tcPr/>
          <w:p>
            <w:pPr>
              <w:jc w:val="both"/>
              <w:pStyle w:val="Compact"/>
            </w:pPr>
            <w:r>
              <w:t xml:space="preserve">p53/p21-dependent G1 arrest after centrosome removal; a subset assembles de novo</w:t>
            </w:r>
          </w:p>
        </w:tc>
        <w:tc>
          <w:tcPr/>
          <w:p>
            <w:pPr>
              <w:jc w:val="both"/>
              <w:pStyle w:val="Compact"/>
            </w:pPr>
            <w:r>
              <w:t xml:space="preserve">Recovery is</w:t>
            </w:r>
            <w:r>
              <w:t xml:space="preserve"> </w:t>
            </w:r>
            <w:r>
              <w:rPr>
                <w:b/>
                <w:bCs/>
              </w:rPr>
              <w:t xml:space="preserve">inefficient in normal cells</w:t>
            </w:r>
            <w:r>
              <w:t xml:space="preserve"> </w:t>
            </w:r>
            <w:r>
              <w:t xml:space="preserve">(most arrest); p53-deficient lines (U2OS) do not arrest</w:t>
            </w:r>
          </w:p>
        </w:tc>
      </w:tr>
      <w:tr>
        <w:tc>
          <w:tcPr/>
          <w:p>
            <w:pPr>
              <w:jc w:val="both"/>
              <w:pStyle w:val="Compact"/>
            </w:pPr>
            <w:r>
              <w:rPr>
                <w:b/>
                <w:bCs/>
              </w:rPr>
              <w:t xml:space="preserve">Mikule et al. 2007</w:t>
            </w:r>
            <w:r>
              <w:t xml:space="preserve"> </w:t>
            </w:r>
            <w:r>
              <w:t xml:space="preserve">(Nat Cell Biol 9:160–170, PMID 17330329)</w:t>
            </w:r>
          </w:p>
        </w:tc>
        <w:tc>
          <w:tcPr/>
          <w:p>
            <w:pPr>
              <w:jc w:val="both"/>
              <w:pStyle w:val="Compact"/>
            </w:pPr>
            <w:r>
              <w:t xml:space="preserve">RPE1 + tumor lines</w:t>
            </w:r>
          </w:p>
        </w:tc>
        <w:tc>
          <w:tcPr/>
          <w:p>
            <w:pPr>
              <w:jc w:val="both"/>
              <w:pStyle w:val="Compact"/>
            </w:pPr>
            <w:r>
              <w:t xml:space="preserve">Loss/integrity disruption → p38 → p53 → p21 → G1-S arrest</w:t>
            </w:r>
          </w:p>
        </w:tc>
        <w:tc>
          <w:tcPr/>
          <w:p>
            <w:pPr>
              <w:jc w:val="both"/>
              <w:pStyle w:val="Compact"/>
            </w:pPr>
            <w:r>
              <w:t xml:space="preserve">p53-defective tumor cells skip arrest → aneuploidy accumulation</w:t>
            </w:r>
          </w:p>
        </w:tc>
      </w:tr>
    </w:tbl>
    <w:p>
      <w:pPr>
        <w:jc w:val="both"/>
        <w:pStyle w:val="BodyText"/>
      </w:pPr>
      <w:r>
        <w:rPr>
          <w:b/>
          <w:bCs/>
        </w:rPr>
        <w:t xml:space="preserve">Family 2 — Chemical depletion (reversible): centrinone</w:t>
      </w:r>
    </w:p>
    <w:tbl>
      <w:tblPr>
        <w:tblStyle w:val="Table"/>
        <w:tblW w:w="9026" w:type="dxa"/>
        <w:tblLayout w:type="fixed"/>
        <w:tblLook w:firstRow="1" w:lastRow="0" w:firstColumn="0" w:lastColumn="0" w:noHBand="0" w:noVBand="0" w:val="0020"/>
        <w:jc w:val="center"/>
      </w:tblPr>
      <w:tblGrid>
        <w:gridCol w:w="1352"/>
        <w:gridCol w:w="1545"/>
        <w:gridCol w:w="1545"/>
        <w:gridCol w:w="3477"/>
      </w:tblGrid>
      <w:tr>
        <w:trPr>
          <w:tblHeader w:val="on"/>
        </w:trPr>
        <w:tc>
          <w:tcPr/>
          <w:p>
            <w:pPr>
              <w:jc w:val="both"/>
              <w:pStyle w:val="Compact"/>
            </w:pPr>
            <w:r>
              <w:t xml:space="preserve">Study</w:t>
            </w:r>
          </w:p>
        </w:tc>
        <w:tc>
          <w:tcPr/>
          <w:p>
            <w:pPr>
              <w:jc w:val="both"/>
              <w:pStyle w:val="Compact"/>
            </w:pPr>
            <w:r>
              <w:t xml:space="preserve">System</w:t>
            </w:r>
          </w:p>
        </w:tc>
        <w:tc>
          <w:tcPr/>
          <w:p>
            <w:pPr>
              <w:jc w:val="both"/>
              <w:pStyle w:val="Compact"/>
            </w:pPr>
            <w:r>
              <w:t xml:space="preserve">Result</w:t>
            </w:r>
          </w:p>
        </w:tc>
        <w:tc>
          <w:tcPr/>
          <w:p>
            <w:pPr>
              <w:jc w:val="both"/>
              <w:pStyle w:val="Compact"/>
            </w:pPr>
            <w:r>
              <w:t xml:space="preserve">Recovery outcome</w:t>
            </w:r>
          </w:p>
        </w:tc>
      </w:tr>
      <w:tr>
        <w:tc>
          <w:tcPr/>
          <w:p>
            <w:pPr>
              <w:jc w:val="both"/>
              <w:pStyle w:val="Compact"/>
            </w:pPr>
            <w:r>
              <w:rPr>
                <w:sz w:val="18"/>
                <w:szCs w:val="18"/>
                <w:b/>
                <w:bCs/>
              </w:rPr>
              <w:t xml:space="preserve">Wong et al. 2015</w:t>
            </w:r>
            <w:r>
              <w:t xml:space="preserve"> </w:t>
            </w:r>
            <w:r>
              <w:t xml:space="preserve">(Science 348:1155–1160, PMID 25931445)</w:t>
            </w:r>
          </w:p>
        </w:tc>
        <w:tc>
          <w:tcPr/>
          <w:p>
            <w:pPr>
              <w:jc w:val="both"/>
              <w:pStyle w:val="Compact"/>
            </w:pPr>
            <w:r>
              <w:t xml:space="preserve">RPE1, BJ + cancer lines</w:t>
            </w:r>
          </w:p>
        </w:tc>
        <w:tc>
          <w:tcPr/>
          <w:p>
            <w:pPr>
              <w:jc w:val="both"/>
              <w:pStyle w:val="Compact"/>
            </w:pPr>
            <w:r>
              <w:t xml:space="preserve">Centrinone (PLK4 inhibitor) depletes centrioles in ~3 days</w:t>
            </w:r>
          </w:p>
        </w:tc>
        <w:tc>
          <w:tcPr/>
          <w:p>
            <w:pPr>
              <w:jc w:val="both"/>
              <w:pStyle w:val="Compact"/>
            </w:pPr>
            <w:r>
              <w:rPr>
                <w:b/>
                <w:bCs/>
              </w:rPr>
              <w:t xml:space="preserve">In</w:t>
            </w:r>
            <w:r>
              <w:rPr>
                <w:b/>
                <w:bCs/>
              </w:rPr>
              <w:t xml:space="preserve"> </w:t>
            </w:r>
            <w:r>
              <w:rPr>
                <w:b/>
                <w:bCs/>
                <w:i/>
                <w:iCs/>
              </w:rPr>
              <w:t xml:space="preserve">normal cells</w:t>
            </w:r>
            <w:r>
              <w:rPr>
                <w:b/>
                <w:bCs/>
              </w:rPr>
              <w:t xml:space="preserve">: irreversible senescence-like p53-dependent G1 arrest (NO recovery). In</w:t>
            </w:r>
            <w:r>
              <w:rPr>
                <w:b/>
                <w:bCs/>
              </w:rPr>
              <w:t xml:space="preserve"> </w:t>
            </w:r>
            <w:r>
              <w:rPr>
                <w:b/>
                <w:bCs/>
                <w:i/>
                <w:iCs/>
              </w:rPr>
              <w:t xml:space="preserve">cancer lines</w:t>
            </w:r>
            <w:r>
              <w:rPr>
                <w:b/>
                <w:bCs/>
              </w:rPr>
              <w:t xml:space="preserve">: proliferation continues; washout returns each line to its intrinsic centriole set point.</w:t>
            </w:r>
            <w:r>
              <w:t xml:space="preserve"> </w:t>
            </w:r>
            <w:r>
              <w:t xml:space="preserve">Recovery in untransformed cells is</w:t>
            </w:r>
            <w:r>
              <w:t xml:space="preserve"> </w:t>
            </w:r>
            <w:r>
              <w:rPr>
                <w:b/>
                <w:bCs/>
              </w:rPr>
              <w:t xml:space="preserve">not</w:t>
            </w:r>
            <w:r>
              <w:t xml:space="preserve"> </w:t>
            </w:r>
            <w:r>
              <w:t xml:space="preserve">established — it is the Phase 1 question of this protocol;</w:t>
            </w:r>
            <w:r>
              <w:t xml:space="preserve"> </w:t>
            </w:r>
            <w:r>
              <w:rPr>
                <w:b/>
                <w:bCs/>
              </w:rPr>
              <w:t xml:space="preserve">no aging readouts were measured in either case</w:t>
            </w:r>
          </w:p>
        </w:tc>
      </w:tr>
      <w:tr>
        <w:tc>
          <w:tcPr/>
          <w:p>
            <w:pPr>
              <w:jc w:val="both"/>
              <w:pStyle w:val="Compact"/>
            </w:pPr>
            <w:r>
              <w:rPr>
                <w:b/>
                <w:bCs/>
              </w:rPr>
              <w:t xml:space="preserve">Renzova et al. 2018</w:t>
            </w:r>
            <w:r>
              <w:t xml:space="preserve"> </w:t>
            </w:r>
            <w:r>
              <w:t xml:space="preserve">(Stem Cell Reports 11:959–972, PMID 30197118)</w:t>
            </w:r>
          </w:p>
        </w:tc>
        <w:tc>
          <w:tcPr/>
          <w:p>
            <w:pPr>
              <w:jc w:val="both"/>
              <w:pStyle w:val="Compact"/>
            </w:pPr>
            <w:r>
              <w:t xml:space="preserve">hESC/iPSC</w:t>
            </w:r>
          </w:p>
        </w:tc>
        <w:tc>
          <w:tcPr/>
          <w:p>
            <w:pPr>
              <w:jc w:val="both"/>
              <w:pStyle w:val="Compact"/>
            </w:pPr>
            <w:r>
              <w:t xml:space="preserve">PLK4–STIL inactivation → centrosome loss → p53 stabilization → loss of self-renewal → differentiation into 3 germ layers</w:t>
            </w:r>
          </w:p>
        </w:tc>
        <w:tc>
          <w:tcPr/>
          <w:p>
            <w:pPr>
              <w:jc w:val="both"/>
              <w:pStyle w:val="Compact"/>
            </w:pPr>
            <w:r>
              <w:rPr>
                <w:b/>
                <w:bCs/>
              </w:rPr>
              <w:t xml:space="preserve">No recovery intended</w:t>
            </w:r>
            <w:r>
              <w:t xml:space="preserve"> </w:t>
            </w:r>
            <w:r>
              <w:t xml:space="preserve">— chronic loss; outcome opposes H2 in pluripotent cells (resolved in §4.2)</w:t>
            </w:r>
          </w:p>
        </w:tc>
      </w:tr>
    </w:tbl>
    <w:p>
      <w:pPr>
        <w:jc w:val="both"/>
        <w:pStyle w:val="BodyText"/>
      </w:pPr>
      <w:r>
        <w:rPr>
          <w:b/>
          <w:bCs/>
        </w:rPr>
        <w:t xml:space="preserve">Family 3 — Genetic models (developmental): the p53-response is universal</w:t>
      </w:r>
    </w:p>
    <w:tbl>
      <w:tblPr>
        <w:tblStyle w:val="Table"/>
        <w:tblW w:w="9026" w:type="dxa"/>
        <w:tblLayout w:type="fixed"/>
        <w:tblLook w:firstRow="1" w:lastRow="0" w:firstColumn="0" w:lastColumn="0" w:noHBand="0" w:noVBand="0" w:val="0020"/>
        <w:jc w:val="center"/>
      </w:tblPr>
      <w:tblGrid>
        <w:gridCol w:w="1352"/>
        <w:gridCol w:w="1545"/>
        <w:gridCol w:w="1545"/>
        <w:gridCol w:w="3477"/>
      </w:tblGrid>
      <w:tr>
        <w:trPr>
          <w:tblHeader w:val="on"/>
        </w:trPr>
        <w:tc>
          <w:tcPr/>
          <w:p>
            <w:pPr>
              <w:jc w:val="both"/>
              <w:pStyle w:val="Compact"/>
            </w:pPr>
            <w:r>
              <w:t xml:space="preserve">Study</w:t>
            </w:r>
          </w:p>
        </w:tc>
        <w:tc>
          <w:tcPr/>
          <w:p>
            <w:pPr>
              <w:jc w:val="both"/>
              <w:pStyle w:val="Compact"/>
            </w:pPr>
            <w:r>
              <w:t xml:space="preserve">System</w:t>
            </w:r>
          </w:p>
        </w:tc>
        <w:tc>
          <w:tcPr/>
          <w:p>
            <w:pPr>
              <w:jc w:val="both"/>
              <w:pStyle w:val="Compact"/>
            </w:pPr>
            <w:r>
              <w:t xml:space="preserve">Result</w:t>
            </w:r>
          </w:p>
        </w:tc>
        <w:tc>
          <w:tcPr/>
          <w:p>
            <w:pPr>
              <w:jc w:val="both"/>
              <w:pStyle w:val="Compact"/>
            </w:pPr>
            <w:r>
              <w:t xml:space="preserve">Recovery outcome</w:t>
            </w:r>
          </w:p>
        </w:tc>
      </w:tr>
      <w:tr>
        <w:tc>
          <w:tcPr/>
          <w:p>
            <w:pPr>
              <w:jc w:val="both"/>
              <w:pStyle w:val="Compact"/>
            </w:pPr>
            <w:r>
              <w:rPr>
                <w:sz w:val="18"/>
                <w:szCs w:val="18"/>
                <w:b/>
                <w:bCs/>
              </w:rPr>
              <w:t xml:space="preserve">Bazzi &amp; Anderson 2014</w:t>
            </w:r>
            <w:r>
              <w:t xml:space="preserve"> </w:t>
            </w:r>
            <w:r>
              <w:t xml:space="preserve">(PNAS 111:E1491–E1500, PMID 24706806)</w:t>
            </w:r>
          </w:p>
        </w:tc>
        <w:tc>
          <w:tcPr/>
          <w:p>
            <w:pPr>
              <w:jc w:val="both"/>
              <w:pStyle w:val="Compact"/>
            </w:pPr>
            <w:r>
              <w:t xml:space="preserve">Mouse embryo, SAS-6 KO (acentriolar)</w:t>
            </w:r>
          </w:p>
        </w:tc>
        <w:tc>
          <w:tcPr/>
          <w:p>
            <w:pPr>
              <w:jc w:val="both"/>
              <w:pStyle w:val="Compact"/>
            </w:pPr>
            <w:r>
              <w:t xml:space="preserve">Acentriolar mitosis in early embryo →</w:t>
            </w:r>
            <w:r>
              <w:t xml:space="preserve"> </w:t>
            </w:r>
            <w:r>
              <w:rPr>
                <w:b/>
                <w:bCs/>
              </w:rPr>
              <w:t xml:space="preserve">p53-dependent apoptosis</w:t>
            </w:r>
            <w:r>
              <w:t xml:space="preserve">; some cells divide via acentriolar spindles</w:t>
            </w:r>
          </w:p>
        </w:tc>
        <w:tc>
          <w:tcPr/>
          <w:p>
            <w:pPr>
              <w:jc w:val="both"/>
              <w:pStyle w:val="Compact"/>
            </w:pPr>
            <w:r>
              <w:t xml:space="preserve">No recovery — lethality; proves p53 is the gatekeeper of the acentriolar state in vivo</w:t>
            </w:r>
          </w:p>
        </w:tc>
      </w:tr>
      <w:tr>
        <w:tc>
          <w:tcPr/>
          <w:p>
            <w:pPr>
              <w:jc w:val="both"/>
              <w:pStyle w:val="Compact"/>
            </w:pPr>
            <w:r>
              <w:rPr>
                <w:b/>
                <w:bCs/>
              </w:rPr>
              <w:t xml:space="preserve">Xie et al. 2021</w:t>
            </w:r>
            <w:r>
              <w:t xml:space="preserve"> </w:t>
            </w:r>
            <w:r>
              <w:t xml:space="preserve">(Dev Cell 56:3334–3348, PMID 34932949)</w:t>
            </w:r>
          </w:p>
        </w:tc>
        <w:tc>
          <w:tcPr/>
          <w:p>
            <w:pPr>
              <w:jc w:val="both"/>
              <w:pStyle w:val="Compact"/>
            </w:pPr>
            <w:r>
              <w:t xml:space="preserve">Zebrafish/mouse endoderm</w:t>
            </w:r>
          </w:p>
        </w:tc>
        <w:tc>
          <w:tcPr/>
          <w:p>
            <w:pPr>
              <w:jc w:val="both"/>
              <w:pStyle w:val="Compact"/>
            </w:pPr>
            <w:r>
              <w:t xml:space="preserve">Centrioles needed to restrain</w:t>
            </w:r>
            <w:r>
              <w:t xml:space="preserve"> </w:t>
            </w:r>
            <w:r>
              <w:rPr>
                <w:b/>
                <w:bCs/>
              </w:rPr>
              <w:t xml:space="preserve">p53-mediated apoptosis</w:t>
            </w:r>
            <w:r>
              <w:t xml:space="preserve"> </w:t>
            </w:r>
            <w:r>
              <w:t xml:space="preserve">when ERK signaling is absent</w:t>
            </w:r>
          </w:p>
        </w:tc>
        <w:tc>
          <w:tcPr/>
          <w:p>
            <w:pPr>
              <w:jc w:val="both"/>
              <w:pStyle w:val="Compact"/>
            </w:pPr>
            <w:r>
              <w:t xml:space="preserve">Context-dependent survival; reinforces p53 as the central gate</w:t>
            </w:r>
          </w:p>
        </w:tc>
      </w:tr>
      <w:tr>
        <w:tc>
          <w:tcPr/>
          <w:p>
            <w:pPr>
              <w:jc w:val="both"/>
              <w:pStyle w:val="Compact"/>
            </w:pPr>
            <w:r>
              <w:rPr>
                <w:b/>
                <w:bCs/>
              </w:rPr>
              <w:t xml:space="preserve">Mikeladze-Dvali et al. 2012</w:t>
            </w:r>
            <w:r>
              <w:t xml:space="preserve"> </w:t>
            </w:r>
            <w:r>
              <w:t xml:space="preserve">(Development 139:1670–1679, PMID 22492357)</w:t>
            </w:r>
          </w:p>
        </w:tc>
        <w:tc>
          <w:tcPr/>
          <w:p>
            <w:pPr>
              <w:jc w:val="both"/>
              <w:pStyle w:val="Compact"/>
            </w:pPr>
            <w:r>
              <w:t xml:space="preserve">C. elegans oogenesis</w:t>
            </w:r>
          </w:p>
        </w:tc>
        <w:tc>
          <w:tcPr/>
          <w:p>
            <w:pPr>
              <w:jc w:val="both"/>
              <w:pStyle w:val="Compact"/>
            </w:pPr>
            <w:r>
              <w:rPr>
                <w:b/>
                <w:bCs/>
              </w:rPr>
              <w:t xml:space="preserve">Natural programmed elimination</w:t>
            </w:r>
            <w:r>
              <w:t xml:space="preserve"> </w:t>
            </w:r>
            <w:r>
              <w:t xml:space="preserve">of all 4 daughter centrioles in oocytes</w:t>
            </w:r>
          </w:p>
        </w:tc>
        <w:tc>
          <w:tcPr/>
          <w:p>
            <w:pPr>
              <w:jc w:val="both"/>
              <w:pStyle w:val="Compact"/>
            </w:pPr>
            <w:r>
              <w:t xml:space="preserve">No somatic recovery — embryo reacquires centrioles from sperm (germline reset)</w:t>
            </w:r>
          </w:p>
        </w:tc>
      </w:tr>
    </w:tbl>
    <w:p>
      <w:pPr>
        <w:jc w:val="both"/>
        <w:pStyle w:val="BodyText"/>
      </w:pPr>
      <w:r>
        <w:rPr>
          <w:b/>
          <w:bCs/>
        </w:rPr>
        <w:t xml:space="preserve">Family 4 — Natural de novo in parthenogenesis (proof de novo suffices for development)</w:t>
      </w:r>
    </w:p>
    <w:tbl>
      <w:tblPr>
        <w:tblStyle w:val="Table"/>
        <w:tblW w:w="9026" w:type="dxa"/>
        <w:tblLayout w:type="fixed"/>
        <w:tblLook w:firstRow="1" w:lastRow="0" w:firstColumn="0" w:lastColumn="0" w:noHBand="0" w:noVBand="0" w:val="0020"/>
        <w:jc w:val="center"/>
      </w:tblPr>
      <w:tblGrid>
        <w:gridCol w:w="2410"/>
        <w:gridCol w:w="2754"/>
        <w:gridCol w:w="2754"/>
      </w:tblGrid>
      <w:tr>
        <w:trPr>
          <w:tblHeader w:val="on"/>
        </w:trPr>
        <w:tc>
          <w:tcPr/>
          <w:p>
            <w:pPr>
              <w:jc w:val="both"/>
              <w:pStyle w:val="Compact"/>
            </w:pPr>
            <w:r>
              <w:t xml:space="preserve">Study</w:t>
            </w:r>
          </w:p>
        </w:tc>
        <w:tc>
          <w:tcPr/>
          <w:p>
            <w:pPr>
              <w:jc w:val="both"/>
              <w:pStyle w:val="Compact"/>
            </w:pPr>
            <w:r>
              <w:t xml:space="preserve">System</w:t>
            </w:r>
          </w:p>
        </w:tc>
        <w:tc>
          <w:tcPr/>
          <w:p>
            <w:pPr>
              <w:jc w:val="both"/>
              <w:pStyle w:val="Compact"/>
            </w:pPr>
            <w:r>
              <w:t xml:space="preserve">Result</w:t>
            </w:r>
          </w:p>
        </w:tc>
      </w:tr>
      <w:tr>
        <w:tc>
          <w:tcPr/>
          <w:p>
            <w:pPr>
              <w:jc w:val="both"/>
              <w:pStyle w:val="Compact"/>
            </w:pPr>
            <w:r>
              <w:rPr>
                <w:sz w:val="18"/>
                <w:szCs w:val="18"/>
                <w:b/>
                <w:bCs/>
              </w:rPr>
              <w:t xml:space="preserve">Szöllosi &amp; Ozil 1991</w:t>
            </w:r>
            <w:r>
              <w:t xml:space="preserve"> </w:t>
            </w:r>
            <w:r>
              <w:t xml:space="preserve">(Biol Cell 72:61–66, PMID 1756312)</w:t>
            </w:r>
          </w:p>
        </w:tc>
        <w:tc>
          <w:tcPr/>
          <w:p>
            <w:pPr>
              <w:jc w:val="both"/>
              <w:pStyle w:val="Compact"/>
            </w:pPr>
            <w:r>
              <w:t xml:space="preserve">Rabbit embryos, parthenogenetic activation (no sperm)</w:t>
            </w:r>
          </w:p>
        </w:tc>
        <w:tc>
          <w:tcPr/>
          <w:p>
            <w:pPr>
              <w:jc w:val="both"/>
              <w:pStyle w:val="Compact"/>
            </w:pPr>
            <w:r>
              <w:rPr>
                <w:b/>
                <w:bCs/>
              </w:rPr>
              <w:t xml:space="preserve">De novo centrioles form in blastomeres</w:t>
            </w:r>
            <w:r>
              <w:t xml:space="preserve"> </w:t>
            </w:r>
            <w:r>
              <w:t xml:space="preserve">— development proceeds without any sperm-derived centriole</w:t>
            </w:r>
          </w:p>
        </w:tc>
      </w:tr>
      <w:tr>
        <w:tc>
          <w:tcPr/>
          <w:p>
            <w:pPr>
              <w:jc w:val="both"/>
              <w:pStyle w:val="Compact"/>
            </w:pPr>
            <w:r>
              <w:rPr>
                <w:b/>
                <w:bCs/>
              </w:rPr>
              <w:t xml:space="preserve">Riparbelli et al. 2017</w:t>
            </w:r>
            <w:r>
              <w:t xml:space="preserve"> </w:t>
            </w:r>
            <w:r>
              <w:t xml:space="preserve">(Results Probl Cell Differ, PMID 28779329)</w:t>
            </w:r>
          </w:p>
        </w:tc>
        <w:tc>
          <w:tcPr/>
          <w:p>
            <w:pPr>
              <w:jc w:val="both"/>
              <w:pStyle w:val="Compact"/>
            </w:pPr>
            <w:r>
              <w:t xml:space="preserve">Insect parthenogenesis</w:t>
            </w:r>
          </w:p>
        </w:tc>
        <w:tc>
          <w:tcPr/>
          <w:p>
            <w:pPr>
              <w:jc w:val="both"/>
              <w:pStyle w:val="Compact"/>
            </w:pPr>
            <w:r>
              <w:t xml:space="preserve">“Centriole renaissance”</w:t>
            </w:r>
            <w:r>
              <w:t xml:space="preserve"> </w:t>
            </w:r>
            <w:r>
              <w:t xml:space="preserve">— de novo assembly supports full development in several insects</w:t>
            </w:r>
          </w:p>
        </w:tc>
      </w:tr>
      <w:tr>
        <w:tc>
          <w:tcPr/>
          <w:p>
            <w:pPr>
              <w:jc w:val="both"/>
              <w:pStyle w:val="Compact"/>
            </w:pPr>
            <w:r>
              <w:rPr>
                <w:b/>
                <w:bCs/>
              </w:rPr>
              <w:t xml:space="preserve">Inoue et al. 2018</w:t>
            </w:r>
            <w:r>
              <w:t xml:space="preserve"> </w:t>
            </w:r>
            <w:r>
              <w:t xml:space="preserve">(BioEssays 40:e1700135, PMID 29522658)</w:t>
            </w:r>
          </w:p>
        </w:tc>
        <w:tc>
          <w:tcPr/>
          <w:p>
            <w:pPr>
              <w:jc w:val="both"/>
              <w:pStyle w:val="Compact"/>
            </w:pPr>
            <w:r>
              <w:t xml:space="preserve">Review — vertebrate MTOC</w:t>
            </w:r>
          </w:p>
        </w:tc>
        <w:tc>
          <w:tcPr/>
          <w:p>
            <w:pPr>
              <w:jc w:val="both"/>
              <w:pStyle w:val="Compact"/>
            </w:pPr>
            <w:r>
              <w:t xml:space="preserve">Maternal centrosomal proteins rebuild the MTOC after the germline elimination —</w:t>
            </w:r>
            <w:r>
              <w:t xml:space="preserve"> </w:t>
            </w:r>
            <w:r>
              <w:t xml:space="preserve">“loss and rebirth”</w:t>
            </w:r>
          </w:p>
        </w:tc>
      </w:tr>
    </w:tbl>
    <w:p>
      <w:pPr>
        <w:jc w:val="both"/>
        <w:pStyle w:val="BodyText"/>
      </w:pPr>
      <w:r>
        <w:rPr>
          <w:b/>
          <w:bCs/>
        </w:rPr>
        <w:t xml:space="preserve">Family 5 — New chemical tools (2025–2026): toward cleaner depletion</w:t>
      </w:r>
    </w:p>
    <w:tbl>
      <w:tblPr>
        <w:tblStyle w:val="Table"/>
        <w:tblW w:w="9026" w:type="dxa"/>
        <w:tblLayout w:type="fixed"/>
        <w:tblLook w:firstRow="1" w:lastRow="0" w:firstColumn="0" w:lastColumn="0" w:noHBand="0" w:noVBand="0" w:val="0020"/>
        <w:jc w:val="center"/>
      </w:tblPr>
      <w:tblGrid>
        <w:gridCol w:w="2310"/>
        <w:gridCol w:w="1980"/>
        <w:gridCol w:w="3630"/>
      </w:tblGrid>
      <w:tr>
        <w:trPr>
          <w:tblHeader w:val="on"/>
        </w:trPr>
        <w:tc>
          <w:tcPr/>
          <w:p>
            <w:pPr>
              <w:jc w:val="both"/>
              <w:pStyle w:val="Compact"/>
            </w:pPr>
            <w:r>
              <w:t xml:space="preserve">Study</w:t>
            </w:r>
          </w:p>
        </w:tc>
        <w:tc>
          <w:tcPr/>
          <w:p>
            <w:pPr>
              <w:jc w:val="both"/>
              <w:pStyle w:val="Compact"/>
            </w:pPr>
            <w:r>
              <w:t xml:space="preserve">Tool</w:t>
            </w:r>
          </w:p>
        </w:tc>
        <w:tc>
          <w:tcPr/>
          <w:p>
            <w:pPr>
              <w:jc w:val="both"/>
              <w:pStyle w:val="Compact"/>
            </w:pPr>
            <w:r>
              <w:t xml:space="preserve">Relevance</w:t>
            </w:r>
          </w:p>
        </w:tc>
      </w:tr>
      <w:tr>
        <w:tc>
          <w:tcPr/>
          <w:p>
            <w:pPr>
              <w:jc w:val="both"/>
              <w:pStyle w:val="Compact"/>
            </w:pPr>
            <w:r>
              <w:rPr>
                <w:sz w:val="18"/>
                <w:szCs w:val="18"/>
                <w:b/>
                <w:bCs/>
              </w:rPr>
              <w:t xml:space="preserve">Jeong et al. 2025</w:t>
            </w:r>
            <w:r>
              <w:t xml:space="preserve"> </w:t>
            </w:r>
            <w:r>
              <w:t xml:space="preserve">(J Med Chem, PMID 41329867)</w:t>
            </w:r>
          </w:p>
        </w:tc>
        <w:tc>
          <w:tcPr/>
          <w:p>
            <w:pPr>
              <w:jc w:val="both"/>
              <w:pStyle w:val="Compact"/>
            </w:pPr>
            <w:r>
              <w:t xml:space="preserve">Aminopyrazole PLK4 inhibitors</w:t>
            </w:r>
          </w:p>
        </w:tc>
        <w:tc>
          <w:tcPr/>
          <w:p>
            <w:pPr>
              <w:jc w:val="both"/>
              <w:pStyle w:val="Compact"/>
            </w:pPr>
            <w:r>
              <w:t xml:space="preserve">Next-generation centrinone-class tools, higher selectivity</w:t>
            </w:r>
          </w:p>
        </w:tc>
      </w:tr>
      <w:tr>
        <w:tc>
          <w:tcPr/>
          <w:p>
            <w:pPr>
              <w:jc w:val="both"/>
              <w:pStyle w:val="Compact"/>
            </w:pPr>
            <w:r>
              <w:rPr>
                <w:b/>
                <w:bCs/>
              </w:rPr>
              <w:t xml:space="preserve">PLK4-targeting reviews 2025 (v7.4)</w:t>
            </w:r>
          </w:p>
        </w:tc>
        <w:tc>
          <w:tcPr/>
          <w:p>
            <w:pPr>
              <w:jc w:val="both"/>
              <w:pStyle w:val="Compact"/>
            </w:pPr>
            <w:r>
              <w:t xml:space="preserve">PLK4 as therapeutic target: breast cancer (Parsyan 2025,</w:t>
            </w:r>
            <w:r>
              <w:t xml:space="preserve"> </w:t>
            </w:r>
            <w:r>
              <w:rPr>
                <w:i/>
                <w:iCs/>
              </w:rPr>
              <w:t xml:space="preserve">Carcinogenesis</w:t>
            </w:r>
            <w:r>
              <w:t xml:space="preserve">, PMID 41092110), skin cancer (Jaiswal 2025,</w:t>
            </w:r>
            <w:r>
              <w:t xml:space="preserve"> </w:t>
            </w:r>
            <w:r>
              <w:rPr>
                <w:i/>
                <w:iCs/>
              </w:rPr>
              <w:t xml:space="preserve">Cells</w:t>
            </w:r>
            <w:r>
              <w:t xml:space="preserve">, PMID 40940791), general oncology (Muntaqua 2025,</w:t>
            </w:r>
            <w:r>
              <w:t xml:space="preserve"> </w:t>
            </w:r>
            <w:r>
              <w:rPr>
                <w:i/>
                <w:iCs/>
              </w:rPr>
              <w:t xml:space="preserve">iScience</w:t>
            </w:r>
            <w:r>
              <w:t xml:space="preserve">, PMID 41488365)</w:t>
            </w:r>
          </w:p>
        </w:tc>
        <w:tc>
          <w:tcPr/>
          <w:p>
            <w:pPr>
              <w:jc w:val="both"/>
              <w:pStyle w:val="Compact"/>
            </w:pPr>
            <w:r>
              <w:t xml:space="preserve">Clinical pipeline context — validates PLK4 as druggable axis; informs the safety argument (§6.5b: PLK4 inhibition is not itself transforming when transient)</w:t>
            </w:r>
          </w:p>
        </w:tc>
      </w:tr>
      <w:tr>
        <w:tc>
          <w:tcPr/>
          <w:p>
            <w:pPr>
              <w:jc w:val="both"/>
              <w:pStyle w:val="Compact"/>
            </w:pPr>
            <w:r>
              <w:rPr>
                <w:b/>
                <w:bCs/>
              </w:rPr>
              <w:t xml:space="preserve">PLK4-PROTAC</w:t>
            </w:r>
            <w:r>
              <w:t xml:space="preserve"> </w:t>
            </w:r>
            <w:r>
              <w:t xml:space="preserve">(PMID 37279162, J Med Chem 2023)</w:t>
            </w:r>
          </w:p>
        </w:tc>
        <w:tc>
          <w:tcPr/>
          <w:p>
            <w:pPr>
              <w:jc w:val="both"/>
              <w:pStyle w:val="Compact"/>
            </w:pPr>
            <w:r>
              <w:t xml:space="preserve">First potent, selective, in vivo efficacious</w:t>
            </w:r>
            <w:r>
              <w:t xml:space="preserve"> </w:t>
            </w:r>
            <w:r>
              <w:rPr>
                <w:b/>
                <w:bCs/>
              </w:rPr>
              <w:t xml:space="preserve">PLK4 proteolysis-targeting chimera</w:t>
            </w:r>
          </w:p>
        </w:tc>
        <w:tc>
          <w:tcPr/>
          <w:p>
            <w:pPr>
              <w:jc w:val="both"/>
              <w:pStyle w:val="Compact"/>
            </w:pPr>
            <w:r>
              <w:t xml:space="preserve">Fast, clean, catalytic depletion — no sustained kinase-occupancy artifacts; see §6.2b</w:t>
            </w:r>
          </w:p>
        </w:tc>
      </w:tr>
      <w:tr>
        <w:tc>
          <w:tcPr/>
          <w:p>
            <w:pPr>
              <w:jc w:val="both"/>
              <w:pStyle w:val="Compact"/>
            </w:pPr>
            <w:r>
              <w:rPr>
                <w:b/>
                <w:bCs/>
              </w:rPr>
              <w:t xml:space="preserve">AID2 degron on centrosomal proteins</w:t>
            </w:r>
            <w:r>
              <w:t xml:space="preserve"> </w:t>
            </w:r>
            <w:r>
              <w:t xml:space="preserve">(PMID 40020058, Sci Adv 2025)</w:t>
            </w:r>
          </w:p>
        </w:tc>
        <w:tc>
          <w:tcPr/>
          <w:p>
            <w:pPr>
              <w:jc w:val="both"/>
              <w:pStyle w:val="Compact"/>
            </w:pPr>
            <w:r>
              <w:t xml:space="preserve">Auxin-inducible degron 2 (TIR1) degrades essential centrosome protein</w:t>
            </w:r>
            <w:r>
              <w:t xml:space="preserve"> </w:t>
            </w:r>
            <w:r>
              <w:rPr>
                <w:b/>
                <w:bCs/>
              </w:rPr>
              <w:t xml:space="preserve">CEP192 in live mice</w:t>
            </w:r>
          </w:p>
        </w:tc>
        <w:tc>
          <w:tcPr/>
          <w:p>
            <w:pPr>
              <w:jc w:val="both"/>
              <w:pStyle w:val="Compact"/>
            </w:pPr>
            <w:r>
              <w:t xml:space="preserve">Proof that AID2 achieves rapid, reversible, sustained degradation of centrosomal proteins in vivo — the template for SAS-6/PLK4 degron lines</w:t>
            </w:r>
          </w:p>
        </w:tc>
      </w:tr>
      <w:tr>
        <w:tc>
          <w:tcPr/>
          <w:p>
            <w:pPr>
              <w:jc w:val="both"/>
              <w:pStyle w:val="Compact"/>
            </w:pPr>
            <w:r>
              <w:rPr>
                <w:b/>
                <w:bCs/>
              </w:rPr>
              <w:t xml:space="preserve">Lu et al. 2025</w:t>
            </w:r>
            <w:r>
              <w:t xml:space="preserve"> </w:t>
            </w:r>
            <w:r>
              <w:t xml:space="preserve">(Cell Reports, PMID 40974574)</w:t>
            </w:r>
          </w:p>
        </w:tc>
        <w:tc>
          <w:tcPr/>
          <w:p>
            <w:pPr>
              <w:jc w:val="both"/>
              <w:pStyle w:val="Compact"/>
            </w:pPr>
            <w:r>
              <w:t xml:space="preserve">MCIDAS nuclear-cytoplasmic translocation</w:t>
            </w:r>
          </w:p>
        </w:tc>
        <w:tc>
          <w:tcPr/>
          <w:p>
            <w:pPr>
              <w:jc w:val="both"/>
              <w:pStyle w:val="Compact"/>
            </w:pPr>
            <w:r>
              <w:t xml:space="preserve">Massive</w:t>
            </w:r>
            <w:r>
              <w:t xml:space="preserve"> </w:t>
            </w:r>
            <w:r>
              <w:rPr>
                <w:b/>
                <w:bCs/>
              </w:rPr>
              <w:t xml:space="preserve">de novo</w:t>
            </w:r>
            <w:r>
              <w:t xml:space="preserve"> </w:t>
            </w:r>
            <w:r>
              <w:t xml:space="preserve">centriole amplification (multiciliogenesis) — the natural</w:t>
            </w:r>
            <w:r>
              <w:t xml:space="preserve"> </w:t>
            </w:r>
            <w:r>
              <w:t xml:space="preserve">“boost”</w:t>
            </w:r>
            <w:r>
              <w:t xml:space="preserve"> </w:t>
            </w:r>
            <w:r>
              <w:t xml:space="preserve">mechanism</w:t>
            </w:r>
          </w:p>
        </w:tc>
      </w:tr>
      <w:tr>
        <w:tc>
          <w:tcPr/>
          <w:p>
            <w:pPr>
              <w:jc w:val="both"/>
              <w:pStyle w:val="Compact"/>
            </w:pPr>
            <w:r>
              <w:rPr>
                <w:b/>
                <w:bCs/>
              </w:rPr>
              <w:t xml:space="preserve">FBXW7-mediated endogenous Plk4 degradation</w:t>
            </w:r>
            <w:r>
              <w:t xml:space="preserve"> </w:t>
            </w:r>
            <w:r>
              <w:t xml:space="preserve">(PMID 41453690, JBC 2026)</w:t>
            </w:r>
          </w:p>
        </w:tc>
        <w:tc>
          <w:tcPr/>
          <w:p>
            <w:pPr>
              <w:jc w:val="both"/>
              <w:pStyle w:val="Compact"/>
            </w:pPr>
            <w:r>
              <w:t xml:space="preserve">E3 ligase degrades hyper-phosphorylated Plk4 — the cell’s own copy-number brake</w:t>
            </w:r>
          </w:p>
        </w:tc>
        <w:tc>
          <w:tcPr/>
          <w:p>
            <w:pPr>
              <w:jc w:val="both"/>
              <w:pStyle w:val="Compact"/>
            </w:pPr>
            <w:r>
              <w:t xml:space="preserve">Perspective for genetic modulation of elimination kinetics (not a chemical tool)</w:t>
            </w:r>
          </w:p>
        </w:tc>
      </w:tr>
    </w:tbl>
    <w:p>
      <w:pPr>
        <w:jc w:val="both"/>
        <w:pStyle w:val="BodyText"/>
      </w:pPr>
      <w:r>
        <w:rPr>
          <w:b/>
          <w:bCs/>
        </w:rPr>
        <w:t xml:space="preserve">Synthesis for this protocol (evidence-based response):</w:t>
      </w:r>
      <w:r>
        <w:t xml:space="preserve"> </w:t>
      </w:r>
      <w:r>
        <w:t xml:space="preserve">(1) the p53/p21 arrest after centrosome loss is</w:t>
      </w:r>
      <w:r>
        <w:t xml:space="preserve"> </w:t>
      </w:r>
      <w:r>
        <w:rPr>
          <w:b/>
          <w:bCs/>
        </w:rPr>
        <w:t xml:space="preserve">universal</w:t>
      </w:r>
      <w:r>
        <w:t xml:space="preserve"> </w:t>
      </w:r>
      <w:r>
        <w:t xml:space="preserve">(Khodjakov, La Terra, Uetake, Mikule, Bazzi, Xie) — justifying a</w:t>
      </w:r>
      <w:r>
        <w:t xml:space="preserve"> </w:t>
      </w:r>
      <w:r>
        <w:rPr>
          <w:b/>
          <w:bCs/>
        </w:rPr>
        <w:t xml:space="preserve">targeted p53-override</w:t>
      </w:r>
      <w:r>
        <w:t xml:space="preserve"> </w:t>
      </w:r>
      <w:r>
        <w:t xml:space="preserve">as a mandatory component;</w:t>
      </w:r>
      <w:r>
        <w:t xml:space="preserve"> </w:t>
      </w:r>
      <w:r>
        <w:rPr>
          <w:b/>
          <w:bCs/>
        </w:rPr>
        <w:t xml:space="preserve">v7.0 precision upgrade :</w:t>
      </w:r>
      <w:r>
        <w:t xml:space="preserve"> </w:t>
      </w:r>
      <w:r>
        <w:t xml:space="preserve">the arrest is mediated by the</w:t>
      </w:r>
      <w:r>
        <w:t xml:space="preserve"> </w:t>
      </w:r>
      <w:r>
        <w:rPr>
          <w:b/>
          <w:bCs/>
        </w:rPr>
        <w:t xml:space="preserve">mitotic surveillance pathway 53BP1–USP28–p53</w:t>
      </w:r>
      <w:r>
        <w:t xml:space="preserve"> </w:t>
      </w:r>
      <w:r>
        <w:t xml:space="preserve">(Fong 2016, eLife; Meitinger 2016, JCB; Wang 2021, EMBO J — in vivo microcephaly), NOT the classical DNA-damage response — therefore global pifithrin-α is replaced by</w:t>
      </w:r>
      <w:r>
        <w:t xml:space="preserve"> </w:t>
      </w:r>
      <w:r>
        <w:rPr>
          <w:b/>
          <w:bCs/>
        </w:rPr>
        <w:t xml:space="preserve">selective USP25/28 inhibition</w:t>
      </w:r>
      <w:r>
        <w:t xml:space="preserve"> </w:t>
      </w:r>
      <w:r>
        <w:t xml:space="preserve">(Bratt 2025, Cell Chem Biol; Hernandez-Olmos 2026, J Med Chem), which unlatches only the USP28 bridge and</w:t>
      </w:r>
      <w:r>
        <w:t xml:space="preserve"> </w:t>
      </w:r>
      <w:r>
        <w:rPr>
          <w:b/>
          <w:bCs/>
        </w:rPr>
        <w:t xml:space="preserve">preserves the p53 response to genuine DNA damage</w:t>
      </w:r>
      <w:r>
        <w:t xml:space="preserve">, protecting the Genome-integrity gate (H5); pifithrin-α is retained only as the arm-E comparator (see §6.1);</w:t>
      </w:r>
      <w:r>
        <w:t xml:space="preserve"> </w:t>
      </w:r>
      <w:r>
        <w:rPr>
          <w:b/>
          <w:bCs/>
        </w:rPr>
        <w:t xml:space="preserve">v7.3 addition : the complementary PIDDosome arm is registered</w:t>
      </w:r>
      <w:r>
        <w:t xml:space="preserve"> </w:t>
      </w:r>
      <w:r>
        <w:t xml:space="preserve">— supernumerary/aged centrosomes activate the</w:t>
      </w:r>
      <w:r>
        <w:t xml:space="preserve"> </w:t>
      </w:r>
      <w:r>
        <w:rPr>
          <w:b/>
          <w:bCs/>
        </w:rPr>
        <w:t xml:space="preserve">PIDDosome–p53 axis via centriolar distal appendages/ANKRD26</w:t>
      </w:r>
      <w:r>
        <w:t xml:space="preserve"> </w:t>
      </w:r>
      <w:r>
        <w:t xml:space="preserve">(Fava 2017, Genes Dev; 2021 EMBO J, PMID 33350486) and extra centrosomes induce</w:t>
      </w:r>
      <w:r>
        <w:t xml:space="preserve"> </w:t>
      </w:r>
      <w:r>
        <w:rPr>
          <w:b/>
          <w:bCs/>
        </w:rPr>
        <w:t xml:space="preserve">PIDD1-mediated inflammation</w:t>
      </w:r>
      <w:r>
        <w:t xml:space="preserve"> </w:t>
      </w:r>
      <w:r>
        <w:t xml:space="preserve">(2023 EMBO J, PMID 37530438); the protocol therefore monitors</w:t>
      </w:r>
      <w:r>
        <w:t xml:space="preserve"> </w:t>
      </w:r>
      <w:r>
        <w:rPr>
          <w:b/>
          <w:bCs/>
        </w:rPr>
        <w:t xml:space="preserve">both directions</w:t>
      </w:r>
      <w:r>
        <w:t xml:space="preserve"> </w:t>
      </w:r>
      <w:r>
        <w:t xml:space="preserve">of the centrosome–p53 surveillance axis — loss (53BP1–USP28) and amplification (PIDDosome/ANKRD26) — with the centriole-number gate E (exactly 2) as the switch that prevents either arm from firing post-recovery; (2) recovery of division after centrinone washout is</w:t>
      </w:r>
      <w:r>
        <w:t xml:space="preserve"> </w:t>
      </w:r>
      <w:r>
        <w:rPr>
          <w:b/>
          <w:bCs/>
        </w:rPr>
        <w:t xml:space="preserve">proven only in transformed lines</w:t>
      </w:r>
      <w:r>
        <w:t xml:space="preserve"> </w:t>
      </w:r>
      <w:r>
        <w:t xml:space="preserve">(Wong 2015 — corrected in v5.6) and aging phenotypes were never measured — our CRCS closes exactly that gap; (3) de novo assembly is</w:t>
      </w:r>
      <w:r>
        <w:t xml:space="preserve"> </w:t>
      </w:r>
      <w:r>
        <w:rPr>
          <w:b/>
          <w:bCs/>
        </w:rPr>
        <w:t xml:space="preserve">inefficient/error-prone in untransformed cells</w:t>
      </w:r>
      <w:r>
        <w:t xml:space="preserve"> </w:t>
      </w:r>
      <w:r>
        <w:t xml:space="preserve">(Uetake 2007; La Terra 2005 — initial numbers uncontrolled) — motivating the PLK4-pulse boost, number titration, and the 4-proof verification; (4) parthenogenesis proves de novo suffices for organismal development (Szöllosi 1991; Riparbelli 2017) — the strongest existence proof for the paradigm.</w:t>
      </w:r>
    </w:p>
    <w:p>
      <w:pPr>
        <w:pStyle w:val="Heading3"/>
      </w:pPr>
      <w:r>
        <w:t xml:space="preserve">3.5 The prototype chain and the actual novelty (2026-08-11, )</w:t>
      </w:r>
    </w:p>
    <w:p>
      <w:pPr>
        <w:jc w:val="both"/>
        <w:pStyle w:val="FirstParagraph"/>
      </w:pPr>
      <w:r>
        <w:t xml:space="preserve">The four nearest prototypes form an ascending ladder — each solved one technical piece, and each left the same gap:</w:t>
      </w:r>
    </w:p>
    <w:tbl>
      <w:tblPr>
        <w:tblStyle w:val="Table"/>
        <w:tblW w:w="9026" w:type="dxa"/>
        <w:tblLayout w:type="fixed"/>
        <w:tblLook w:firstRow="1" w:lastRow="0" w:firstColumn="0" w:lastColumn="0" w:noHBand="0" w:noVBand="0" w:val="0020"/>
        <w:jc w:val="center"/>
      </w:tblPr>
      <w:tblGrid>
        <w:gridCol w:w="2904"/>
        <w:gridCol w:w="2112"/>
        <w:gridCol w:w="2904"/>
      </w:tblGrid>
      <w:tr>
        <w:trPr>
          <w:tblHeader w:val="on"/>
        </w:trPr>
        <w:tc>
          <w:tcPr/>
          <w:p>
            <w:pPr>
              <w:jc w:val="both"/>
              <w:pStyle w:val="Compact"/>
            </w:pPr>
            <w:r>
              <w:t xml:space="preserve">Prototype</w:t>
            </w:r>
          </w:p>
        </w:tc>
        <w:tc>
          <w:tcPr/>
          <w:p>
            <w:pPr>
              <w:jc w:val="both"/>
              <w:pStyle w:val="Compact"/>
            </w:pPr>
            <w:r>
              <w:t xml:space="preserve">Solved</w:t>
            </w:r>
          </w:p>
        </w:tc>
        <w:tc>
          <w:tcPr/>
          <w:p>
            <w:pPr>
              <w:jc w:val="both"/>
              <w:pStyle w:val="Compact"/>
            </w:pPr>
            <w:r>
              <w:t xml:space="preserve">Left open</w:t>
            </w:r>
          </w:p>
        </w:tc>
      </w:tr>
      <w:tr>
        <w:tc>
          <w:tcPr/>
          <w:p>
            <w:pPr>
              <w:jc w:val="both"/>
              <w:pStyle w:val="Compact"/>
            </w:pPr>
            <w:r>
              <w:rPr>
                <w:sz w:val="18"/>
                <w:szCs w:val="18"/>
                <w:b/>
                <w:bCs/>
              </w:rPr>
              <w:t xml:space="preserve">Khodjakov et al. 2002</w:t>
            </w:r>
            <w:r>
              <w:t xml:space="preserve"> </w:t>
            </w:r>
            <w:r>
              <w:t xml:space="preserve">(CHO, laser microsurgery)</w:t>
            </w:r>
          </w:p>
        </w:tc>
        <w:tc>
          <w:tcPr/>
          <w:p>
            <w:pPr>
              <w:jc w:val="both"/>
              <w:pStyle w:val="Compact"/>
            </w:pPr>
            <w:r>
              <w:t xml:space="preserve">Centriole → removed →</w:t>
            </w:r>
            <w:r>
              <w:t xml:space="preserve"> </w:t>
            </w:r>
            <w:r>
              <w:rPr>
                <w:b/>
                <w:bCs/>
              </w:rPr>
              <w:t xml:space="preserve">new structure built from zero</w:t>
            </w:r>
          </w:p>
        </w:tc>
        <w:tc>
          <w:tcPr/>
          <w:p>
            <w:pPr>
              <w:jc w:val="both"/>
              <w:pStyle w:val="Compact"/>
            </w:pPr>
            <w:r>
              <w:t xml:space="preserve">Cell-cycle/aging phenotype after rebuild</w:t>
            </w:r>
          </w:p>
        </w:tc>
      </w:tr>
      <w:tr>
        <w:tc>
          <w:tcPr/>
          <w:p>
            <w:pPr>
              <w:jc w:val="both"/>
              <w:pStyle w:val="Compact"/>
            </w:pPr>
            <w:r>
              <w:rPr>
                <w:b/>
                <w:bCs/>
              </w:rPr>
              <w:t xml:space="preserve">La Terra et al. 2005</w:t>
            </w:r>
            <w:r>
              <w:t xml:space="preserve"> </w:t>
            </w:r>
            <w:r>
              <w:t xml:space="preserve">(HeLa, laser/needle)</w:t>
            </w:r>
          </w:p>
        </w:tc>
        <w:tc>
          <w:tcPr/>
          <w:p>
            <w:pPr>
              <w:jc w:val="both"/>
              <w:pStyle w:val="Compact"/>
            </w:pPr>
            <w:r>
              <w:t xml:space="preserve">Resident centrioles removed → multiple new centrioles de novo</w:t>
            </w:r>
          </w:p>
        </w:tc>
        <w:tc>
          <w:tcPr/>
          <w:p>
            <w:pPr>
              <w:jc w:val="both"/>
              <w:pStyle w:val="Compact"/>
            </w:pPr>
            <w:r>
              <w:rPr>
                <w:b/>
                <w:bCs/>
              </w:rPr>
              <w:t xml:space="preserve">Number control</w:t>
            </w:r>
            <w:r>
              <w:t xml:space="preserve"> </w:t>
            </w:r>
            <w:r>
              <w:t xml:space="preserve">(initially uncontrolled); aging phenotype</w:t>
            </w:r>
          </w:p>
        </w:tc>
      </w:tr>
      <w:tr>
        <w:tc>
          <w:tcPr/>
          <w:p>
            <w:pPr>
              <w:jc w:val="both"/>
              <w:pStyle w:val="Compact"/>
            </w:pPr>
            <w:r>
              <w:rPr>
                <w:b/>
                <w:bCs/>
              </w:rPr>
              <w:t xml:space="preserve">Uetake et al. 2007</w:t>
            </w:r>
            <w:r>
              <w:t xml:space="preserve"> </w:t>
            </w:r>
            <w:r>
              <w:t xml:space="preserve">(normal human cells)</w:t>
            </w:r>
          </w:p>
        </w:tc>
        <w:tc>
          <w:tcPr/>
          <w:p>
            <w:pPr>
              <w:jc w:val="both"/>
              <w:pStyle w:val="Compact"/>
            </w:pPr>
            <w:r>
              <w:t xml:space="preserve">De novo assembly after removal is a</w:t>
            </w:r>
            <w:r>
              <w:t xml:space="preserve"> </w:t>
            </w:r>
            <w:r>
              <w:rPr>
                <w:b/>
                <w:bCs/>
              </w:rPr>
              <w:t xml:space="preserve">general capacity of mammalian somatic cells</w:t>
            </w:r>
            <w:r>
              <w:t xml:space="preserve">, not a cancer-cell curiosity</w:t>
            </w:r>
          </w:p>
        </w:tc>
        <w:tc>
          <w:tcPr/>
          <w:p>
            <w:pPr>
              <w:jc w:val="both"/>
              <w:pStyle w:val="Compact"/>
            </w:pPr>
            <w:r>
              <w:t xml:space="preserve">Efficiency low; p53 arrest; aging phenotype</w:t>
            </w:r>
          </w:p>
        </w:tc>
      </w:tr>
      <w:tr>
        <w:tc>
          <w:tcPr/>
          <w:p>
            <w:pPr>
              <w:jc w:val="both"/>
              <w:pStyle w:val="Compact"/>
            </w:pPr>
            <w:r>
              <w:rPr>
                <w:b/>
                <w:bCs/>
              </w:rPr>
              <w:t xml:space="preserve">Wong et al. 2015</w:t>
            </w:r>
            <w:r>
              <w:t xml:space="preserve"> </w:t>
            </w:r>
            <w:r>
              <w:t xml:space="preserve">(centrinone)</w:t>
            </w:r>
          </w:p>
        </w:tc>
        <w:tc>
          <w:tcPr/>
          <w:p>
            <w:pPr>
              <w:jc w:val="both"/>
              <w:pStyle w:val="Compact"/>
            </w:pPr>
            <w:r>
              <w:t xml:space="preserve">Chemical path:</w:t>
            </w:r>
            <w:r>
              <w:t xml:space="preserve"> </w:t>
            </w:r>
            <w:r>
              <w:rPr>
                <w:b/>
                <w:bCs/>
              </w:rPr>
              <w:t xml:space="preserve">deplete → wait → restore PLK4 → de novo rebuild</w:t>
            </w:r>
            <w:r>
              <w:t xml:space="preserve"> </w:t>
            </w:r>
            <w:r>
              <w:t xml:space="preserve">(transformed lines)</w:t>
            </w:r>
          </w:p>
        </w:tc>
        <w:tc>
          <w:tcPr/>
          <w:p>
            <w:pPr>
              <w:jc w:val="both"/>
              <w:pStyle w:val="Compact"/>
            </w:pPr>
            <w:r>
              <w:t xml:space="preserve">Normal-cell recovery (irreversible p53 arrest); aging phenotype</w:t>
            </w:r>
          </w:p>
        </w:tc>
      </w:tr>
    </w:tbl>
    <w:p>
      <w:pPr>
        <w:jc w:val="both"/>
        <w:pStyle w:val="BlockText"/>
      </w:pPr>
      <w:r>
        <w:rPr>
          <w:b/>
          <w:bCs/>
        </w:rPr>
        <w:t xml:space="preserve">The actual novelty, stated strictly:</w:t>
      </w:r>
      <w:r>
        <w:t xml:space="preserve"> </w:t>
      </w:r>
      <w:r>
        <w:rPr>
          <w:i/>
          <w:iCs/>
        </w:rPr>
        <w:t xml:space="preserve">removing the old centriole is not new. De novo creation of a new centriole is not new.</w:t>
      </w:r>
      <w:r>
        <w:rPr>
          <w:i/>
          <w:iCs/>
        </w:rPr>
        <w:t xml:space="preserve"> </w:t>
      </w:r>
      <w:r>
        <w:rPr>
          <w:b/>
          <w:bCs/>
          <w:i/>
          <w:iCs/>
        </w:rPr>
        <w:t xml:space="preserve">What is new is the question:</w:t>
      </w:r>
      <w:r>
        <w:rPr>
          <w:i/>
          <w:iCs/>
        </w:rPr>
        <w:t xml:space="preserve"> </w:t>
      </w:r>
      <w:r>
        <w:rPr>
          <w:i/>
          <w:iCs/>
        </w:rPr>
        <w:t xml:space="preserve">does the aging state of the old somatic cell change as a result?</w:t>
      </w:r>
      <w:r>
        <w:t xml:space="preserve"> </w:t>
      </w:r>
      <w:r>
        <w:t xml:space="preserve">More rigorously:</w:t>
      </w:r>
      <w:r>
        <w:t xml:space="preserve"> </w:t>
      </w:r>
      <w:r>
        <w:rPr>
          <w:b/>
          <w:bCs/>
        </w:rPr>
        <w:t xml:space="preserve">old cell + old centriole → old cell + genuinely new centriole</w:t>
      </w:r>
      <w:r>
        <w:t xml:space="preserve"> </w:t>
      </w:r>
      <w:r>
        <w:t xml:space="preserve">— then ask: did the cellular age phenotype change? Every prototype stopped at</w:t>
      </w:r>
      <w:r>
        <w:t xml:space="preserve"> </w:t>
      </w:r>
      <w:r>
        <w:t xml:space="preserve">“the centriole came back”</w:t>
      </w:r>
      <w:r>
        <w:t xml:space="preserve">; none measured whether</w:t>
      </w:r>
      <w:r>
        <w:t xml:space="preserve"> </w:t>
      </w:r>
      <w:r>
        <w:rPr>
          <w:b/>
          <w:bCs/>
        </w:rPr>
        <w:t xml:space="preserve">the cell came back younger</w:t>
      </w:r>
      <w:r>
        <w:t xml:space="preserve">. That single missing measurement is this protocol.</w:t>
      </w:r>
    </w:p>
    <w:p>
      <w:pPr>
        <w:jc w:val="both"/>
        <w:pStyle w:val="BlockText"/>
      </w:pPr>
      <w:r>
        <w:rPr>
          <w:b/>
          <w:bCs/>
        </w:rPr>
        <w:t xml:space="preserve">Novelty as binding, not as</w:t>
      </w:r>
      <w:r>
        <w:rPr>
          <w:b/>
          <w:bCs/>
        </w:rPr>
        <w:t xml:space="preserve"> </w:t>
      </w:r>
      <w:r>
        <w:rPr>
          <w:b/>
          <w:bCs/>
        </w:rPr>
        <w:t xml:space="preserve">“first”</w:t>
      </w:r>
      <w:r>
        <w:rPr>
          <w:b/>
          <w:bCs/>
        </w:rPr>
        <w:t xml:space="preserve"> </w:t>
      </w:r>
      <w:r>
        <w:rPr>
          <w:b/>
          <w:bCs/>
        </w:rPr>
        <w:t xml:space="preserve">(, 15:36):</w:t>
      </w:r>
      <w:r>
        <w:t xml:space="preserve"> </w:t>
      </w:r>
      <w:r>
        <w:t xml:space="preserve">“nobody has done anything like this”</w:t>
      </w:r>
      <w:r>
        <w:t xml:space="preserve"> </w:t>
      </w:r>
      <w:r>
        <w:t xml:space="preserve">would be wrong —</w:t>
      </w:r>
      <w:r>
        <w:t xml:space="preserve"> </w:t>
      </w:r>
      <w:r>
        <w:rPr>
          <w:b/>
          <w:bCs/>
        </w:rPr>
        <w:t xml:space="preserve">more than half of the technological experiments have already been done</w:t>
      </w:r>
      <w:r>
        <w:t xml:space="preserve"> </w:t>
      </w:r>
      <w:r>
        <w:t xml:space="preserve">(Khodjakov, La Terra, Uetake, Wong solved the pieces). The real novelty is the</w:t>
      </w:r>
      <w:r>
        <w:t xml:space="preserve"> </w:t>
      </w:r>
      <w:r>
        <w:rPr>
          <w:b/>
          <w:bCs/>
        </w:rPr>
        <w:t xml:space="preserve">binding</w:t>
      </w:r>
      <w:r>
        <w:t xml:space="preserve">: assembling the existing pieces into an</w:t>
      </w:r>
      <w:r>
        <w:t xml:space="preserve"> </w:t>
      </w:r>
      <w:r>
        <w:rPr>
          <w:b/>
          <w:bCs/>
        </w:rPr>
        <w:t xml:space="preserve">aging causal test</w:t>
      </w:r>
      <w:r>
        <w:t xml:space="preserve"> </w:t>
      </w:r>
      <w:r>
        <w:t xml:space="preserve">— elimination + verified de novo + aging-phenotype readouts + OSK factorial + safety gate — none of the prototypes performed the binding. The novelty claim is therefore about the</w:t>
      </w:r>
      <w:r>
        <w:t xml:space="preserve"> </w:t>
      </w:r>
      <w:r>
        <w:rPr>
          <w:i/>
          <w:iCs/>
        </w:rPr>
        <w:t xml:space="preserve">integration into a causal test</w:t>
      </w:r>
      <w:r>
        <w:t xml:space="preserve">, explicitly not about the individual technologies.</w:t>
      </w:r>
    </w:p>
    <w:p>
      <w:pPr>
        <w:jc w:val="both"/>
        <w:pStyle w:val="BlockText"/>
      </w:pPr>
      <w:r>
        <w:rPr>
          <w:b/>
          <w:bCs/>
        </w:rPr>
        <w:t xml:space="preserve">Visual (13 puzzle pieces — schematic only, v8.0):</w:t>
      </w:r>
      <w:r>
        <w:t xml:space="preserve"> </w:t>
      </w:r>
      <w:r>
        <w:rPr>
          <w:rStyle w:val="VerbatimChar"/>
        </w:rPr>
        <w:t xml:space="preserve">docs/ENTROPY_RESET_13_PUZZLES.png</w:t>
      </w:r>
      <w:r>
        <w:t xml:space="preserve"> </w:t>
      </w:r>
      <w:r>
        <w:t xml:space="preserve">— 12 Hallmarks of Aging + centriole elimination &amp; de novo synthesis assembling into one picture.</w:t>
      </w:r>
      <w:r>
        <w:t xml:space="preserve"> </w:t>
      </w:r>
      <w:r>
        <w:rPr>
          <w:b/>
          <w:bCs/>
        </w:rPr>
        <w:t xml:space="preserve">this is explicitly labeled a schematic for grant/lecture use, NOT a claim that the centriole is a 13th hallmark</w:t>
      </w:r>
      <w:r>
        <w:t xml:space="preserve"> </w:t>
      </w:r>
      <w:r>
        <w:t xml:space="preserve">— in the publication it moves to supplementary material with the caption</w:t>
      </w:r>
      <w:r>
        <w:t xml:space="preserve"> </w:t>
      </w:r>
      <w:r>
        <w:t xml:space="preserve">“schematic; the centriole is a candidate mechanistic axis, not an additional hallmark.”</w:t>
      </w:r>
    </w:p>
    <w:p>
      <w:pPr>
        <w:jc w:val="both"/>
        <w:pStyle w:val="BlockText"/>
      </w:pPr>
      <w:r>
        <w:rPr>
          <w:b/>
          <w:bCs/>
        </w:rPr>
        <w:t xml:space="preserve">To our knowledge, no study has yet directly tested whether controlled centriole elimination followed by bona fide de novo biogenesis — with four independent proofs of de novo origin — produces OSK-independent improvements in defined cellular aging phenotypes (CRCS) in somatic cells.</w:t>
      </w:r>
      <w:r>
        <w:t xml:space="preserve"> </w:t>
      </w:r>
      <w:r>
        <w:t xml:space="preserve">Wong 2015 restored proliferation without aging readouts; Renzova 2018 showed differentiation upon acute loss in pluripotent cells (discussed in §4.2). The present program bridges the gap between these two results. (Systematic search re-verified before submission.)</w:t>
      </w:r>
    </w:p>
    <w:p>
      <w:pPr>
        <w:pStyle w:val="Heading2"/>
      </w:pPr>
      <w:r>
        <w:t xml:space="preserve">4. Hypotheses (pre-registered, falsifiable)</w:t>
      </w:r>
    </w:p>
    <w:tbl>
      <w:tblPr>
        <w:tblStyle w:val="Table"/>
        <w:tblW w:w="9026" w:type="dxa"/>
        <w:tblLayout w:type="fixed"/>
        <w:tblLook w:firstRow="1" w:lastRow="0" w:firstColumn="0" w:lastColumn="0" w:noHBand="0" w:noVBand="0" w:val="0020"/>
        <w:jc w:val="center"/>
      </w:tblPr>
      <w:tblGrid>
        <w:gridCol w:w="1092"/>
        <w:gridCol w:w="3004"/>
        <w:gridCol w:w="3823"/>
      </w:tblGrid>
      <w:tr>
        <w:trPr>
          <w:tblHeader w:val="on"/>
        </w:trPr>
        <w:tc>
          <w:tcPr/>
          <w:p>
            <w:pPr>
              <w:jc w:val="both"/>
              <w:pStyle w:val="Compact"/>
            </w:pPr>
            <w:r>
              <w:t xml:space="preserve">ID</w:t>
            </w:r>
          </w:p>
        </w:tc>
        <w:tc>
          <w:tcPr/>
          <w:p>
            <w:pPr>
              <w:jc w:val="both"/>
              <w:pStyle w:val="Compact"/>
            </w:pPr>
            <w:r>
              <w:t xml:space="preserve">Hypothesis</w:t>
            </w:r>
          </w:p>
        </w:tc>
        <w:tc>
          <w:tcPr/>
          <w:p>
            <w:pPr>
              <w:jc w:val="both"/>
              <w:pStyle w:val="Compact"/>
            </w:pPr>
            <w:r>
              <w:t xml:space="preserve">Falsified if</w:t>
            </w:r>
          </w:p>
        </w:tc>
      </w:tr>
      <w:tr>
        <w:tc>
          <w:tcPr/>
          <w:p>
            <w:pPr>
              <w:jc w:val="both"/>
              <w:pStyle w:val="Compact"/>
            </w:pPr>
            <w:r>
              <w:rPr>
                <w:sz w:val="18"/>
                <w:szCs w:val="18"/>
                <w:b/>
                <w:bCs/>
              </w:rPr>
              <w:t xml:space="preserve">H1 (Mechanistic)</w:t>
            </w:r>
          </w:p>
        </w:tc>
        <w:tc>
          <w:tcPr/>
          <w:p>
            <w:pPr>
              <w:jc w:val="both"/>
              <w:pStyle w:val="Compact"/>
            </w:pPr>
            <w:r>
              <w:t xml:space="preserve">Controlled elimination + bona fide de novo biogenesis is feasible in</w:t>
            </w:r>
            <w:r>
              <w:t xml:space="preserve"> </w:t>
            </w:r>
            <w:r>
              <w:rPr>
                <w:b/>
                <w:bCs/>
              </w:rPr>
              <w:t xml:space="preserve">untransformed</w:t>
            </w:r>
            <w:r>
              <w:t xml:space="preserve"> </w:t>
            </w:r>
            <w:r>
              <w:t xml:space="preserve">somatic cells</w:t>
            </w:r>
          </w:p>
        </w:tc>
        <w:tc>
          <w:tcPr/>
          <w:p>
            <w:pPr>
              <w:jc w:val="both"/>
              <w:pStyle w:val="Compact"/>
            </w:pPr>
            <w:r>
              <w:t xml:space="preserve">De novo origin cannot be demonstrated (remnant regeneration instead);</w:t>
            </w:r>
            <w:r>
              <w:t xml:space="preserve"> </w:t>
            </w:r>
            <w:r>
              <w:rPr>
                <w:b/>
                <w:bCs/>
              </w:rPr>
              <w:t xml:space="preserve">or recovery is blocked by p53-dependent arrest (technical barrier, see §2.1 Wong) — this falsifies H1-as-feasibility, NOT H2</w:t>
            </w:r>
          </w:p>
        </w:tc>
      </w:tr>
      <w:tr>
        <w:tc>
          <w:tcPr/>
          <w:p>
            <w:pPr>
              <w:jc w:val="both"/>
              <w:pStyle w:val="Compact"/>
            </w:pPr>
            <w:r>
              <w:rPr>
                <w:b/>
                <w:bCs/>
              </w:rPr>
              <w:t xml:space="preserve">H2 (Functional)</w:t>
            </w:r>
          </w:p>
        </w:tc>
        <w:tc>
          <w:tcPr/>
          <w:p>
            <w:pPr>
              <w:jc w:val="both"/>
              <w:pStyle w:val="Compact"/>
            </w:pPr>
            <w:r>
              <w:t xml:space="preserve">Cells with verified de novo centrioles improve defined cellular-aging phenotypes vs. matched controls</w:t>
            </w:r>
          </w:p>
        </w:tc>
        <w:tc>
          <w:tcPr/>
          <w:p>
            <w:pPr>
              <w:jc w:val="both"/>
              <w:pStyle w:val="Compact"/>
            </w:pPr>
            <w:r>
              <w:t xml:space="preserve">B ≤ A on primary composite (CRCS)</w:t>
            </w:r>
          </w:p>
        </w:tc>
      </w:tr>
      <w:tr>
        <w:tc>
          <w:tcPr/>
          <w:p>
            <w:pPr>
              <w:jc w:val="both"/>
              <w:pStyle w:val="Compact"/>
            </w:pPr>
            <w:r>
              <w:rPr>
                <w:b/>
                <w:bCs/>
              </w:rPr>
              <w:t xml:space="preserve">H3 (Independence)</w:t>
            </w:r>
          </w:p>
        </w:tc>
        <w:tc>
          <w:tcPr/>
          <w:p>
            <w:pPr>
              <w:jc w:val="both"/>
              <w:pStyle w:val="Compact"/>
            </w:pPr>
            <w:r>
              <w:t xml:space="preserve">Centriole reset has an effect detectable after accounting for OSK</w:t>
            </w:r>
          </w:p>
        </w:tc>
        <w:tc>
          <w:tcPr/>
          <w:p>
            <w:pPr>
              <w:jc w:val="both"/>
              <w:pStyle w:val="Compact"/>
            </w:pPr>
            <w:r>
              <w:t xml:space="preserve">No significant main effect of reset in 2×2; interaction absent</w:t>
            </w:r>
          </w:p>
        </w:tc>
      </w:tr>
      <w:tr>
        <w:tc>
          <w:tcPr/>
          <w:p>
            <w:pPr>
              <w:jc w:val="both"/>
              <w:pStyle w:val="Compact"/>
            </w:pPr>
            <w:r>
              <w:rPr>
                <w:b/>
                <w:bCs/>
              </w:rPr>
              <w:t xml:space="preserve">H4 (Causality)</w:t>
            </w:r>
          </w:p>
        </w:tc>
        <w:tc>
          <w:tcPr/>
          <w:p>
            <w:pPr>
              <w:jc w:val="both"/>
              <w:pStyle w:val="Compact"/>
            </w:pPr>
            <w:r>
              <w:t xml:space="preserve">Rejuvenation magnitude correlates with extent/fidelity of replacement, not with the perturbation used</w:t>
            </w:r>
          </w:p>
        </w:tc>
        <w:tc>
          <w:tcPr/>
          <w:p>
            <w:pPr>
              <w:jc w:val="both"/>
              <w:pStyle w:val="Compact"/>
            </w:pPr>
            <w:r>
              <w:t xml:space="preserve">Perturbation control (failed reset) shows equal effect</w:t>
            </w:r>
          </w:p>
        </w:tc>
      </w:tr>
      <w:tr>
        <w:tc>
          <w:tcPr/>
          <w:p>
            <w:pPr>
              <w:jc w:val="both"/>
              <w:pStyle w:val="Compact"/>
            </w:pPr>
            <w:r>
              <w:rPr>
                <w:b/>
                <w:bCs/>
              </w:rPr>
              <w:t xml:space="preserve">H5 (Safety)</w:t>
            </w:r>
          </w:p>
        </w:tc>
        <w:tc>
          <w:tcPr/>
          <w:p>
            <w:pPr>
              <w:jc w:val="both"/>
              <w:pStyle w:val="Compact"/>
            </w:pPr>
            <w:r>
              <w:t xml:space="preserve">Reset does not increase genomic instability, aneuploidy, or abnormal centrosome number beyond acceptance criteria</w:t>
            </w:r>
          </w:p>
        </w:tc>
        <w:tc>
          <w:tcPr/>
          <w:p>
            <w:pPr>
              <w:jc w:val="both"/>
              <w:pStyle w:val="Compact"/>
            </w:pPr>
            <w:r>
              <w:t xml:space="preserve">Genome-integrity gate fails in ≥5% of replicates</w:t>
            </w:r>
          </w:p>
        </w:tc>
      </w:tr>
      <w:tr>
        <w:tc>
          <w:tcPr/>
          <w:p>
            <w:pPr>
              <w:jc w:val="both"/>
              <w:pStyle w:val="Compact"/>
            </w:pPr>
            <w:r>
              <w:rPr>
                <w:b/>
                <w:bCs/>
              </w:rPr>
              <w:t xml:space="preserve">H6 (p53-control)</w:t>
            </w:r>
          </w:p>
        </w:tc>
        <w:tc>
          <w:tcPr/>
          <w:p>
            <w:pPr>
              <w:jc w:val="both"/>
              <w:pStyle w:val="Compact"/>
            </w:pPr>
            <w:r>
              <w:t xml:space="preserve">Transient p53 suppression is a</w:t>
            </w:r>
            <w:r>
              <w:t xml:space="preserve"> </w:t>
            </w:r>
            <w:r>
              <w:rPr>
                <w:b/>
                <w:bCs/>
              </w:rPr>
              <w:t xml:space="preserve">controlled variable, not a free technique</w:t>
            </w:r>
            <w:r>
              <w:t xml:space="preserve">: any CRCS effect is attributable to centriole reset only if it exceeds the effect of p53-suppression alone</w:t>
            </w:r>
          </w:p>
        </w:tc>
        <w:tc>
          <w:tcPr/>
          <w:p>
            <w:pPr>
              <w:jc w:val="both"/>
              <w:pStyle w:val="Compact"/>
            </w:pPr>
            <w:r>
              <w:t xml:space="preserve">p53-suppression-only arm (no reset) matches reset arm on CRCS</w:t>
            </w:r>
          </w:p>
        </w:tc>
      </w:tr>
      <w:tr>
        <w:tc>
          <w:tcPr/>
          <w:p>
            <w:pPr>
              <w:jc w:val="both"/>
              <w:pStyle w:val="Compact"/>
            </w:pPr>
            <w:r>
              <w:rPr>
                <w:b/>
                <w:bCs/>
              </w:rPr>
              <w:t xml:space="preserve">H6’ (USP28-specificity, v7.0)</w:t>
            </w:r>
          </w:p>
        </w:tc>
        <w:tc>
          <w:tcPr/>
          <w:p>
            <w:pPr>
              <w:jc w:val="both"/>
              <w:pStyle w:val="Compact"/>
            </w:pPr>
            <w:r>
              <w:t xml:space="preserve">The targeted USP28-inhibitor override does not globally disable p53: cells pass the acentriolar window but</w:t>
            </w:r>
            <w:r>
              <w:t xml:space="preserve"> </w:t>
            </w:r>
            <w:r>
              <w:rPr>
                <w:b/>
                <w:bCs/>
              </w:rPr>
              <w:t xml:space="preserve">retain a functional p53 response to independent DNA damage</w:t>
            </w:r>
          </w:p>
        </w:tc>
        <w:tc>
          <w:tcPr/>
          <w:p>
            <w:pPr>
              <w:jc w:val="both"/>
              <w:pStyle w:val="Compact"/>
            </w:pPr>
            <w:r>
              <w:t xml:space="preserve">Etoposide challenge (γH2AX/p21 induction) fails in USP28-treated cells, OR checkpoint passage rate does not improve vs. pifithrin-α</w:t>
            </w:r>
          </w:p>
        </w:tc>
      </w:tr>
    </w:tbl>
    <w:p>
      <w:pPr>
        <w:pStyle w:val="Heading3"/>
      </w:pPr>
      <w:r>
        <w:t xml:space="preserve">4.2 Addressing the closest prior experiment: Renzova et al. 2018 (critical assessment)</w:t>
      </w:r>
    </w:p>
    <w:p>
      <w:pPr>
        <w:jc w:val="both"/>
        <w:pStyle w:val="FirstParagraph"/>
      </w:pPr>
      <w:r>
        <w:t xml:space="preserve">Renzova et al. (2018, PMID 30197118) inactivated the PLK4–STIL module in human pluripotent stem cells; centrosome loss caused p53 stabilization, loss of self-renewal, and differentiation —</w:t>
      </w:r>
      <w:r>
        <w:t xml:space="preserve"> </w:t>
      </w:r>
      <w:r>
        <w:rPr>
          <w:i/>
          <w:iCs/>
        </w:rPr>
        <w:t xml:space="preserve">prima facie</w:t>
      </w:r>
      <w:r>
        <w:t xml:space="preserve"> </w:t>
      </w:r>
      <w:r>
        <w:t xml:space="preserve">the opposite of H2. Five design differences explain why a different outcome is expected here, and each is testable:</w:t>
      </w:r>
    </w:p>
    <w:tbl>
      <w:tblPr>
        <w:tblStyle w:val="Table"/>
        <w:tblW w:w="9026" w:type="dxa"/>
        <w:tblLayout w:type="fixed"/>
        <w:tblLook w:firstRow="1" w:lastRow="0" w:firstColumn="0" w:lastColumn="0" w:noHBand="0" w:noVBand="0" w:val="0020"/>
        <w:jc w:val="center"/>
      </w:tblPr>
      <w:tblGrid>
        <w:gridCol w:w="1708"/>
        <w:gridCol w:w="2174"/>
        <w:gridCol w:w="2329"/>
        <w:gridCol w:w="1708"/>
      </w:tblGrid>
      <w:tr>
        <w:trPr>
          <w:tblHeader w:val="on"/>
        </w:trPr>
        <w:tc>
          <w:tcPr/>
          <w:p>
            <w:pPr>
              <w:jc w:val="both"/>
              <w:pStyle w:val="Compact"/>
            </w:pPr>
            <w:r>
              <w:t xml:space="preserve">Difference</w:t>
            </w:r>
          </w:p>
        </w:tc>
        <w:tc>
          <w:tcPr/>
          <w:p>
            <w:pPr>
              <w:jc w:val="both"/>
              <w:pStyle w:val="Compact"/>
            </w:pPr>
            <w:r>
              <w:t xml:space="preserve">Renzova 2018</w:t>
            </w:r>
          </w:p>
        </w:tc>
        <w:tc>
          <w:tcPr/>
          <w:p>
            <w:pPr>
              <w:jc w:val="both"/>
              <w:pStyle w:val="Compact"/>
            </w:pPr>
            <w:r>
              <w:t xml:space="preserve">This protocol</w:t>
            </w:r>
          </w:p>
        </w:tc>
        <w:tc>
          <w:tcPr/>
          <w:p>
            <w:pPr>
              <w:jc w:val="both"/>
              <w:pStyle w:val="Compact"/>
            </w:pPr>
            <w:r>
              <w:t xml:space="preserve">Rationale</w:t>
            </w:r>
          </w:p>
        </w:tc>
      </w:tr>
      <w:tr>
        <w:tc>
          <w:tcPr/>
          <w:p>
            <w:pPr>
              <w:jc w:val="both"/>
              <w:pStyle w:val="Compact"/>
            </w:pPr>
            <w:r>
              <w:t xml:space="preserve">1. Cell type</w:t>
            </w:r>
          </w:p>
        </w:tc>
        <w:tc>
          <w:tcPr/>
          <w:p>
            <w:pPr>
              <w:jc w:val="both"/>
              <w:pStyle w:val="Compact"/>
            </w:pPr>
            <w:r>
              <w:t xml:space="preserve">hESC/iPSC (pluripotent)</w:t>
            </w:r>
          </w:p>
        </w:tc>
        <w:tc>
          <w:tcPr/>
          <w:p>
            <w:pPr>
              <w:jc w:val="both"/>
              <w:pStyle w:val="Compact"/>
            </w:pPr>
            <w:r>
              <w:t xml:space="preserve">Somatic fibroblasts</w:t>
            </w:r>
          </w:p>
        </w:tc>
        <w:tc>
          <w:tcPr/>
          <w:p>
            <w:pPr>
              <w:jc w:val="both"/>
              <w:pStyle w:val="Compact"/>
            </w:pPr>
            <w:r>
              <w:t xml:space="preserve">Pluripotency maintenance is centrosome-dependent (Renzova); fibroblast identity is not.</w:t>
            </w:r>
            <w:r>
              <w:t xml:space="preserve"> </w:t>
            </w:r>
            <w:r>
              <w:t xml:space="preserve">“Centrosome loss breaks stemness”</w:t>
            </w:r>
            <w:r>
              <w:t xml:space="preserve"> </w:t>
            </w:r>
            <w:r>
              <w:t xml:space="preserve">is irrelevant to a non-stem cell</w:t>
            </w:r>
          </w:p>
        </w:tc>
      </w:tr>
      <w:tr>
        <w:tc>
          <w:tcPr/>
          <w:p>
            <w:pPr>
              <w:jc w:val="both"/>
              <w:pStyle w:val="Compact"/>
            </w:pPr>
            <w:r>
              <w:t xml:space="preserve">2. p53 state</w:t>
            </w:r>
          </w:p>
        </w:tc>
        <w:tc>
          <w:tcPr/>
          <w:p>
            <w:pPr>
              <w:jc w:val="both"/>
              <w:pStyle w:val="Compact"/>
            </w:pPr>
            <w:r>
              <w:t xml:space="preserve">p53 intact → differentiation</w:t>
            </w:r>
          </w:p>
        </w:tc>
        <w:tc>
          <w:tcPr/>
          <w:p>
            <w:pPr>
              <w:jc w:val="both"/>
              <w:pStyle w:val="Compact"/>
            </w:pPr>
            <w:r>
              <w:rPr>
                <w:sz w:val="18"/>
                <w:szCs w:val="18"/>
                <w:b/>
                <w:bCs/>
              </w:rPr>
              <w:t xml:space="preserve">selective USP25/28 inhibition during the acentriolar window (v7.0; pifithrin-α as arm-E comparator)</w:t>
            </w:r>
          </w:p>
        </w:tc>
        <w:tc>
          <w:tcPr/>
          <w:p>
            <w:pPr>
              <w:jc w:val="both"/>
              <w:pStyle w:val="Compact"/>
            </w:pPr>
            <w:r>
              <w:t xml:space="preserve">The p53-dependent differentiation mechanism (Renzova) is blocked; the plasticity window opens without differentiation</w:t>
            </w:r>
          </w:p>
        </w:tc>
      </w:tr>
      <w:tr>
        <w:tc>
          <w:tcPr/>
          <w:p>
            <w:pPr>
              <w:jc w:val="both"/>
              <w:pStyle w:val="Compact"/>
            </w:pPr>
            <w:r>
              <w:t xml:space="preserve">3. Duration</w:t>
            </w:r>
          </w:p>
        </w:tc>
        <w:tc>
          <w:tcPr/>
          <w:p>
            <w:pPr>
              <w:jc w:val="both"/>
              <w:pStyle w:val="Compact"/>
            </w:pPr>
            <w:r>
              <w:t xml:space="preserve">Chronic loss (self-renewal impossible)</w:t>
            </w:r>
          </w:p>
        </w:tc>
        <w:tc>
          <w:tcPr/>
          <w:p>
            <w:pPr>
              <w:jc w:val="both"/>
              <w:pStyle w:val="Compact"/>
            </w:pPr>
            <w:r>
              <w:t xml:space="preserve">Acute elimination → verified de novo recovery to exactly 2 centrioles</w:t>
            </w:r>
          </w:p>
        </w:tc>
        <w:tc>
          <w:tcPr/>
          <w:p>
            <w:pPr>
              <w:jc w:val="both"/>
              <w:pStyle w:val="Compact"/>
            </w:pPr>
            <w:r>
              <w:t xml:space="preserve">The hypothesis concerns the</w:t>
            </w:r>
            <w:r>
              <w:t xml:space="preserve"> </w:t>
            </w:r>
            <w:r>
              <w:rPr>
                <w:i/>
                <w:iCs/>
              </w:rPr>
              <w:t xml:space="preserve">post-recovery</w:t>
            </w:r>
            <w:r>
              <w:t xml:space="preserve"> </w:t>
            </w:r>
            <w:r>
              <w:t xml:space="preserve">state, not the acentriolar state</w:t>
            </w:r>
          </w:p>
        </w:tc>
      </w:tr>
      <w:tr>
        <w:tc>
          <w:tcPr/>
          <w:p>
            <w:pPr>
              <w:jc w:val="both"/>
              <w:pStyle w:val="Compact"/>
            </w:pPr>
            <w:r>
              <w:t xml:space="preserve">4. Recovery</w:t>
            </w:r>
          </w:p>
        </w:tc>
        <w:tc>
          <w:tcPr/>
          <w:p>
            <w:pPr>
              <w:jc w:val="both"/>
              <w:pStyle w:val="Compact"/>
            </w:pPr>
            <w:r>
              <w:t xml:space="preserve">None intended</w:t>
            </w:r>
          </w:p>
        </w:tc>
        <w:tc>
          <w:tcPr/>
          <w:p>
            <w:pPr>
              <w:jc w:val="both"/>
              <w:pStyle w:val="Compact"/>
            </w:pPr>
            <w:r>
              <w:t xml:space="preserve">PLK4 pulse → functional centrioles (ultrastructure, ciliogenesis, faithful duplication)</w:t>
            </w:r>
          </w:p>
        </w:tc>
        <w:tc>
          <w:tcPr/>
          <w:p>
            <w:pPr>
              <w:jc w:val="both"/>
              <w:pStyle w:val="Compact"/>
            </w:pPr>
            <w:r>
              <w:t xml:space="preserve">H2 tests the rebuilt organelle, not loss itself</w:t>
            </w:r>
          </w:p>
        </w:tc>
      </w:tr>
      <w:tr>
        <w:tc>
          <w:tcPr/>
          <w:p>
            <w:pPr>
              <w:jc w:val="both"/>
              <w:pStyle w:val="Compact"/>
            </w:pPr>
            <w:r>
              <w:t xml:space="preserve">5. Readouts</w:t>
            </w:r>
          </w:p>
        </w:tc>
        <w:tc>
          <w:tcPr/>
          <w:p>
            <w:pPr>
              <w:jc w:val="both"/>
              <w:pStyle w:val="Compact"/>
            </w:pPr>
            <w:r>
              <w:t xml:space="preserve">Self-renewal markers</w:t>
            </w:r>
          </w:p>
        </w:tc>
        <w:tc>
          <w:tcPr/>
          <w:p>
            <w:pPr>
              <w:jc w:val="both"/>
              <w:pStyle w:val="Compact"/>
            </w:pPr>
            <w:r>
              <w:t xml:space="preserve">Aging phenotypes (CRCS), not stemness</w:t>
            </w:r>
          </w:p>
        </w:tc>
        <w:tc>
          <w:tcPr/>
          <w:p>
            <w:pPr>
              <w:jc w:val="both"/>
              <w:pStyle w:val="Compact"/>
            </w:pPr>
            <w:r>
              <w:t xml:space="preserve">Loss of self-renewal in Renzova is not a measure of cellular rejuvenation</w:t>
            </w:r>
          </w:p>
        </w:tc>
      </w:tr>
    </w:tbl>
    <w:p>
      <w:pPr>
        <w:jc w:val="both"/>
        <w:pStyle w:val="BodyText"/>
      </w:pPr>
      <w:r>
        <w:rPr>
          <w:b/>
          <w:bCs/>
        </w:rPr>
        <w:t xml:space="preserve">[P] Prediction:</w:t>
      </w:r>
      <w:r>
        <w:t xml:space="preserve"> </w:t>
      </w:r>
      <w:r>
        <w:t xml:space="preserve">in somatic fibroblasts with p53 suppressed during the window and centrioles rebuilt de novo to 2 per cell, the Renzova outcome (differentiation) should not occur, while CRCS improvement may. If differentiation/self-renewal loss occurs anyway → H2 falsified (pre-registered). Renzova is treated as the</w:t>
      </w:r>
      <w:r>
        <w:t xml:space="preserve"> </w:t>
      </w:r>
      <w:r>
        <w:rPr>
          <w:b/>
          <w:bCs/>
        </w:rPr>
        <w:t xml:space="preserve">primary prior evidence to be overcome</w:t>
      </w:r>
      <w:r>
        <w:t xml:space="preserve">, not ignored.</w:t>
      </w:r>
    </w:p>
    <w:p>
      <w:pPr>
        <w:pStyle w:val="Heading3"/>
      </w:pPr>
      <w:r>
        <w:t xml:space="preserve">4.2a The differentiation-ratchet interpretation: why Renzova actually supports the paradigm [H]</w:t>
      </w:r>
    </w:p>
    <w:p>
      <w:pPr>
        <w:jc w:val="both"/>
        <w:pStyle w:val="FirstParagraph"/>
      </w:pPr>
      <w:r>
        <w:t xml:space="preserve">Renzova 2018 is not merely a counter-example to be overcome — under the</w:t>
      </w:r>
      <w:r>
        <w:t xml:space="preserve"> </w:t>
      </w:r>
      <w:r>
        <w:rPr>
          <w:b/>
          <w:bCs/>
        </w:rPr>
        <w:t xml:space="preserve">centriole-as-differentiation-ratchet</w:t>
      </w:r>
      <w:r>
        <w:t xml:space="preserve"> </w:t>
      </w:r>
      <w:r>
        <w:t xml:space="preserve">hypothesis it is direct supporting evidence. The hypothesis: the centriole/centrosome is a</w:t>
      </w:r>
      <w:r>
        <w:t xml:space="preserve"> </w:t>
      </w:r>
      <w:r>
        <w:rPr>
          <w:b/>
          <w:bCs/>
        </w:rPr>
        <w:t xml:space="preserve">structural ratchet that locks the cell’s current differentiation state</w:t>
      </w:r>
      <w:r>
        <w:t xml:space="preserve">. It does not only count divisions; it anchors identity.</w:t>
      </w:r>
    </w:p>
    <w:p>
      <w:pPr>
        <w:jc w:val="both"/>
        <w:pStyle w:val="Compact"/>
        <w:numPr>
          <w:ilvl w:val="0"/>
          <w:numId w:val="1013"/>
        </w:numPr>
      </w:pPr>
      <w:r>
        <w:rPr>
          <w:b/>
          <w:bCs/>
        </w:rPr>
        <w:t xml:space="preserve">Direction of the ratchet:</w:t>
      </w:r>
      <w:r>
        <w:t xml:space="preserve"> </w:t>
      </w:r>
      <w:r>
        <w:t xml:space="preserve">stem/pluripotent → differentiated (normally irreversible; reprogramming is the rare exception).</w:t>
      </w:r>
    </w:p>
    <w:p>
      <w:pPr>
        <w:jc w:val="both"/>
        <w:pStyle w:val="Compact"/>
        <w:numPr>
          <w:ilvl w:val="0"/>
          <w:numId w:val="1013"/>
        </w:numPr>
      </w:pPr>
      <w:r>
        <w:rPr>
          <w:b/>
          <w:bCs/>
        </w:rPr>
        <w:t xml:space="preserve">Removing the ratchet (centriole loss) releases the anchor:</w:t>
      </w:r>
    </w:p>
    <w:p>
      <w:pPr>
        <w:jc w:val="both"/>
        <w:pStyle w:val="Compact"/>
        <w:numPr>
          <w:ilvl w:val="1"/>
          <w:numId w:val="1014"/>
        </w:numPr>
      </w:pPr>
      <w:r>
        <w:t xml:space="preserve">In a</w:t>
      </w:r>
      <w:r>
        <w:t xml:space="preserve"> </w:t>
      </w:r>
      <w:r>
        <w:rPr>
          <w:b/>
          <w:bCs/>
        </w:rPr>
        <w:t xml:space="preserve">pluripotent cell</w:t>
      </w:r>
      <w:r>
        <w:t xml:space="preserve"> </w:t>
      </w:r>
      <w:r>
        <w:t xml:space="preserve">(Renzova 2018): the anchor of pluripotency is removed → the cell rolls</w:t>
      </w:r>
      <w:r>
        <w:t xml:space="preserve"> </w:t>
      </w:r>
      <w:r>
        <w:rPr>
          <w:i/>
          <w:iCs/>
        </w:rPr>
        <w:t xml:space="preserve">down</w:t>
      </w:r>
      <w:r>
        <w:t xml:space="preserve"> </w:t>
      </w:r>
      <w:r>
        <w:t xml:space="preserve">the ratchet → spontaneous differentiation into three germ layers. This is exactly what a ratchet model predicts: without the anchor, the pluripotent state cannot be maintained.</w:t>
      </w:r>
    </w:p>
    <w:p>
      <w:pPr>
        <w:jc w:val="both"/>
        <w:pStyle w:val="Compact"/>
        <w:numPr>
          <w:ilvl w:val="1"/>
          <w:numId w:val="1014"/>
        </w:numPr>
      </w:pPr>
      <w:r>
        <w:t xml:space="preserve">In a</w:t>
      </w:r>
      <w:r>
        <w:t xml:space="preserve"> </w:t>
      </w:r>
      <w:r>
        <w:rPr>
          <w:b/>
          <w:bCs/>
        </w:rPr>
        <w:t xml:space="preserve">somatic cell</w:t>
      </w:r>
      <w:r>
        <w:t xml:space="preserve"> </w:t>
      </w:r>
      <w:r>
        <w:t xml:space="preserve">(this protocol): the anchor of the differentiated state is removed → the cell is</w:t>
      </w:r>
      <w:r>
        <w:t xml:space="preserve"> </w:t>
      </w:r>
      <w:r>
        <w:rPr>
          <w:i/>
          <w:iCs/>
        </w:rPr>
        <w:t xml:space="preserve">plastic</w:t>
      </w:r>
      <w:r>
        <w:t xml:space="preserve"> </w:t>
      </w:r>
      <w:r>
        <w:t xml:space="preserve">(neither pushed down — it is already at the bottom — nor locked in place) → the plasticity window opens → a</w:t>
      </w:r>
      <w:r>
        <w:t xml:space="preserve"> </w:t>
      </w:r>
      <w:r>
        <w:rPr>
          <w:b/>
          <w:bCs/>
        </w:rPr>
        <w:t xml:space="preserve">new de novo centriole re-locks a new state</w:t>
      </w:r>
      <w:r>
        <w:t xml:space="preserve"> </w:t>
      </w:r>
      <w:r>
        <w:t xml:space="preserve">(reprogrammed/rejuvenated).</w:t>
      </w:r>
    </w:p>
    <w:p>
      <w:pPr>
        <w:jc w:val="both"/>
        <w:pStyle w:val="Compact"/>
        <w:numPr>
          <w:ilvl w:val="0"/>
          <w:numId w:val="1013"/>
        </w:numPr>
      </w:pPr>
      <w:r>
        <w:rPr>
          <w:b/>
          <w:bCs/>
        </w:rPr>
        <w:t xml:space="preserve">Molecular mechanism [H]:</w:t>
      </w:r>
      <w:r>
        <w:t xml:space="preserve"> </w:t>
      </w:r>
      <w:r>
        <w:t xml:space="preserve">CEDAR-γ — a</w:t>
      </w:r>
      <w:r>
        <w:t xml:space="preserve"> </w:t>
      </w:r>
      <w:r>
        <w:rPr>
          <w:b/>
          <w:bCs/>
        </w:rPr>
        <w:t xml:space="preserve">hypothetical centriolar state-locking mechanism</w:t>
      </w:r>
      <w:r>
        <w:t xml:space="preserve"> </w:t>
      </w:r>
      <w:r>
        <w:t xml:space="preserve">(placeholder term; formally</w:t>
      </w:r>
      <w:r>
        <w:t xml:space="preserve"> </w:t>
      </w:r>
      <w:r>
        <w:t xml:space="preserve">“Centrosome-Associated Memory Complex”</w:t>
      </w:r>
      <w:r>
        <w:t xml:space="preserve"> </w:t>
      </w:r>
      <w:r>
        <w:t xml:space="preserve">— see caveat below) on the mother centriole is the ratchet pawl: it maintains the differentiated state. Centriole loss releases the pawl; de novo assembly installs a fresh pawl that locks the new state.</w:t>
      </w:r>
    </w:p>
    <w:p>
      <w:pPr>
        <w:jc w:val="both"/>
        <w:pStyle w:val="Compact"/>
        <w:numPr>
          <w:ilvl w:val="0"/>
          <w:numId w:val="1013"/>
        </w:numPr>
      </w:pPr>
      <w:r>
        <w:rPr>
          <w:b/>
          <w:bCs/>
        </w:rPr>
        <w:t xml:space="preserve">CAMC caveat (v8.0):</w:t>
      </w:r>
      <w:r>
        <w:t xml:space="preserve"> </w:t>
      </w:r>
      <w:r>
        <w:t xml:space="preserve">a critical assessment noted that</w:t>
      </w:r>
      <w:r>
        <w:t xml:space="preserve"> </w:t>
      </w:r>
      <w:r>
        <w:t xml:space="preserve">“Centrosome-Associated Memory Complex”</w:t>
      </w:r>
      <w:r>
        <w:t xml:space="preserve"> </w:t>
      </w:r>
      <w:r>
        <w:t xml:space="preserve">is</w:t>
      </w:r>
      <w:r>
        <w:t xml:space="preserve"> </w:t>
      </w:r>
      <w:r>
        <w:rPr>
          <w:b/>
          <w:bCs/>
        </w:rPr>
        <w:t xml:space="preserve">not an established structure</w:t>
      </w:r>
      <w:r>
        <w:t xml:space="preserve"> </w:t>
      </w:r>
      <w:r>
        <w:t xml:space="preserve">in the literature. It is therefore renamed</w:t>
      </w:r>
      <w:r>
        <w:t xml:space="preserve"> </w:t>
      </w:r>
      <w:r>
        <w:rPr>
          <w:b/>
          <w:bCs/>
        </w:rPr>
        <w:t xml:space="preserve">“hypothetical centriolar state-locking mechanism”</w:t>
      </w:r>
      <w:r>
        <w:t xml:space="preserve"> </w:t>
      </w:r>
      <w:r>
        <w:t xml:space="preserve">in all submission text, and the molecular burden is placed on</w:t>
      </w:r>
      <w:r>
        <w:t xml:space="preserve"> </w:t>
      </w:r>
      <w:r>
        <w:rPr>
          <w:b/>
          <w:bCs/>
        </w:rPr>
        <w:t xml:space="preserve">specific candidate carriers</w:t>
      </w:r>
      <w:r>
        <w:t xml:space="preserve"> </w:t>
      </w:r>
      <w:r>
        <w:t xml:space="preserve">rather than an unobserved complex: (a)</w:t>
      </w:r>
      <w:r>
        <w:t xml:space="preserve"> </w:t>
      </w:r>
      <w:r>
        <w:rPr>
          <w:b/>
          <w:bCs/>
        </w:rPr>
        <w:t xml:space="preserve">distal appendages</w:t>
      </w:r>
      <w:r>
        <w:t xml:space="preserve"> </w:t>
      </w:r>
      <w:r>
        <w:t xml:space="preserve">(the ANKRD26–PIDD1 site — PIDDosome axis, Fava 2017, PMID 28130345; ANKRD26–PIDD1 recruitment, PMID 33350495) as a candidate architectural anchor of</w:t>
      </w:r>
      <w:r>
        <w:t xml:space="preserve"> </w:t>
      </w:r>
      <w:r>
        <w:t xml:space="preserve">“age/identity”</w:t>
      </w:r>
      <w:r>
        <w:t xml:space="preserve">; (b)</w:t>
      </w:r>
      <w:r>
        <w:t xml:space="preserve"> </w:t>
      </w:r>
      <w:r>
        <w:rPr>
          <w:b/>
          <w:bCs/>
        </w:rPr>
        <w:t xml:space="preserve">PTM code on the mother centriole</w:t>
      </w:r>
      <w:r>
        <w:t xml:space="preserve"> </w:t>
      </w:r>
      <w:r>
        <w:t xml:space="preserve">(polyGlu, Δ2-tubulin) as the state-bearing substrate; (c)</w:t>
      </w:r>
      <w:r>
        <w:t xml:space="preserve"> </w:t>
      </w:r>
      <w:r>
        <w:rPr>
          <w:b/>
          <w:bCs/>
        </w:rPr>
        <w:t xml:space="preserve">CEP152/PCNT-containing PCM</w:t>
      </w:r>
      <w:r>
        <w:t xml:space="preserve"> </w:t>
      </w:r>
      <w:r>
        <w:t xml:space="preserve">as the signaling-competence layer. The state-lock hypothesis is retained, but its molecular implementation is now falsifiable per-candidate (each candidate has a perturbation arm), not tied to an unobserved complex.</w:t>
      </w:r>
    </w:p>
    <w:p>
      <w:pPr>
        <w:jc w:val="both"/>
        <w:pStyle w:val="BlockText"/>
      </w:pPr>
      <w:r>
        <w:rPr>
          <w:b/>
          <w:bCs/>
        </w:rPr>
        <w:t xml:space="preserve">CEDAR unified definition (v5.2):</w:t>
      </w:r>
      <w:r>
        <w:t xml:space="preserve"> </w:t>
      </w:r>
      <w:r>
        <w:t xml:space="preserve">CEDAR —</w:t>
      </w:r>
      <w:r>
        <w:t xml:space="preserve"> </w:t>
      </w:r>
      <w:r>
        <w:rPr>
          <w:b/>
          <w:bCs/>
        </w:rPr>
        <w:t xml:space="preserve">C</w:t>
      </w:r>
      <w:r>
        <w:t xml:space="preserve">entriolar</w:t>
      </w:r>
      <w:r>
        <w:t xml:space="preserve"> </w:t>
      </w:r>
      <w:r>
        <w:rPr>
          <w:b/>
          <w:bCs/>
        </w:rPr>
        <w:t xml:space="preserve">E</w:t>
      </w:r>
      <w:r>
        <w:t xml:space="preserve">ntropy-</w:t>
      </w:r>
      <w:r>
        <w:rPr>
          <w:b/>
          <w:bCs/>
        </w:rPr>
        <w:t xml:space="preserve">D</w:t>
      </w:r>
      <w:r>
        <w:t xml:space="preserve">amage</w:t>
      </w:r>
      <w:r>
        <w:t xml:space="preserve"> </w:t>
      </w:r>
      <w:r>
        <w:rPr>
          <w:b/>
          <w:bCs/>
        </w:rPr>
        <w:t xml:space="preserve">A</w:t>
      </w:r>
      <w:r>
        <w:t xml:space="preserve">ccumulation</w:t>
      </w:r>
      <w:r>
        <w:t xml:space="preserve"> </w:t>
      </w:r>
      <w:r>
        <w:rPr>
          <w:b/>
          <w:bCs/>
        </w:rPr>
        <w:t xml:space="preserve">R</w:t>
      </w:r>
      <w:r>
        <w:t xml:space="preserve">atchet — is one ratchet with two modes of action:</w:t>
      </w:r>
      <w:r>
        <w:t xml:space="preserve"> </w:t>
      </w:r>
      <w:r>
        <w:rPr>
          <w:b/>
          <w:bCs/>
        </w:rPr>
        <w:t xml:space="preserve">(1) the counter mode</w:t>
      </w:r>
      <w:r>
        <w:t xml:space="preserve"> </w:t>
      </w:r>
      <w:r>
        <w:t xml:space="preserve">(CEDAR-α/β): semi-conservative duplication accumulates entropy/damage with each division (β·t, −λ·N_asym);</w:t>
      </w:r>
      <w:r>
        <w:t xml:space="preserve"> </w:t>
      </w:r>
      <w:r>
        <w:rPr>
          <w:b/>
          <w:bCs/>
        </w:rPr>
        <w:t xml:space="preserve">(2) the state-lock mode</w:t>
      </w:r>
      <w:r>
        <w:t xml:space="preserve"> </w:t>
      </w:r>
      <w:r>
        <w:t xml:space="preserve">(CEDAR-γ): the same organelle acts as a</w:t>
      </w:r>
      <w:r>
        <w:t xml:space="preserve"> </w:t>
      </w:r>
      <w:r>
        <w:rPr>
          <w:b/>
          <w:bCs/>
        </w:rPr>
        <w:t xml:space="preserve">differentiation ratchet</w:t>
      </w:r>
      <w:r>
        <w:t xml:space="preserve"> </w:t>
      </w:r>
      <w:r>
        <w:t xml:space="preserve">that locks the cell’s current identity (pluripotent or differentiated). Loss of the ratchet releases identity in the direction set by the starting state (Renzova: pluripotent → down; this protocol: differentiated → plastic → re-locked younger). The two modes explain both the aging counter and the reprogramming barrier as one mechanism.</w:t>
      </w:r>
    </w:p>
    <w:p>
      <w:pPr>
        <w:jc w:val="both"/>
        <w:pStyle w:val="BlockText"/>
      </w:pPr>
      <w:r>
        <w:rPr>
          <w:b/>
          <w:bCs/>
        </w:rPr>
        <w:t xml:space="preserve">Related models (links only):</w:t>
      </w:r>
      <w:r>
        <w:t xml:space="preserve"> </w:t>
      </w:r>
      <w:r>
        <w:t xml:space="preserve">MCARA (Multi-Counter Architecture of Replicative Aging) — replicative limit as a race of several counters,</w:t>
      </w:r>
      <w:r>
        <w:t xml:space="preserve"> </w:t>
      </w:r>
      <w:r>
        <w:rPr>
          <w:b/>
          <w:bCs/>
        </w:rPr>
        <w:t xml:space="preserve">with the centriole as counter #1 (the centriolar ratchet)</w:t>
      </w:r>
      <w:r>
        <w:t xml:space="preserve">:</w:t>
      </w:r>
      <w:r>
        <w:t xml:space="preserve"> </w:t>
      </w:r>
      <w:r>
        <w:rPr>
          <w:rStyle w:val="VerbatimChar"/>
        </w:rPr>
        <w:t xml:space="preserve">~/Desktop/LC/MCARA/CONCEPT.md</w:t>
      </w:r>
      <w:r>
        <w:t xml:space="preserve"> </w:t>
      </w:r>
      <w:r>
        <w:t xml:space="preserve">(v5.8). CEDAR unified definition (centriolar counter + state-lock ratchet):</w:t>
      </w:r>
      <w:r>
        <w:t xml:space="preserve"> </w:t>
      </w:r>
      <w:r>
        <w:rPr>
          <w:rStyle w:val="VerbatimChar"/>
        </w:rPr>
        <w:t xml:space="preserve">~/Desktop/LC/MCARA/CEDAR/CONCEPT.md</w:t>
      </w:r>
      <w:r>
        <w:t xml:space="preserve"> </w:t>
      </w:r>
      <w:r>
        <w:t xml:space="preserve">(v1.8).</w:t>
      </w:r>
      <w:r>
        <w:t xml:space="preserve"> </w:t>
      </w:r>
      <w:r>
        <w:t xml:space="preserve">-</w:t>
      </w:r>
      <w:r>
        <w:t xml:space="preserve"> </w:t>
      </w:r>
      <w:r>
        <w:rPr>
          <w:b/>
          <w:bCs/>
        </w:rPr>
        <w:t xml:space="preserve">Testable predictions that distinguish the ratchet model from a mere</w:t>
      </w:r>
      <w:r>
        <w:rPr>
          <w:b/>
          <w:bCs/>
        </w:rPr>
        <w:t xml:space="preserve"> </w:t>
      </w:r>
      <w:r>
        <w:rPr>
          <w:b/>
          <w:bCs/>
        </w:rPr>
        <w:t xml:space="preserve">“stress”</w:t>
      </w:r>
      <w:r>
        <w:rPr>
          <w:b/>
          <w:bCs/>
        </w:rPr>
        <w:t xml:space="preserve"> </w:t>
      </w:r>
      <w:r>
        <w:rPr>
          <w:b/>
          <w:bCs/>
        </w:rPr>
        <w:t xml:space="preserve">model:</w:t>
      </w:r>
      <w:r>
        <w:t xml:space="preserve"> </w:t>
      </w:r>
      <w:r>
        <w:t xml:space="preserve">(1) after de novo assembly, the new state must be</w:t>
      </w:r>
      <w:r>
        <w:t xml:space="preserve"> </w:t>
      </w:r>
      <w:r>
        <w:rPr>
          <w:b/>
          <w:bCs/>
        </w:rPr>
        <w:t xml:space="preserve">stably maintained</w:t>
      </w:r>
      <w:r>
        <w:t xml:space="preserve"> </w:t>
      </w:r>
      <w:r>
        <w:t xml:space="preserve">(CRCS improvements persist over serial passages — no rollback); (2) the same centriole loss in pluripotent cells causes differentiation (Renzova) while in somatic cells with p53 suppressed it causes plasticity — the</w:t>
      </w:r>
      <w:r>
        <w:t xml:space="preserve"> </w:t>
      </w:r>
      <w:r>
        <w:rPr>
          <w:i/>
          <w:iCs/>
        </w:rPr>
        <w:t xml:space="preserve">direction</w:t>
      </w:r>
      <w:r>
        <w:t xml:space="preserve"> </w:t>
      </w:r>
      <w:r>
        <w:t xml:space="preserve">of the outcome is set by the starting state, not by the perturbation; (3) reintroducing an aged centriole into a reset cell re-locks the</w:t>
      </w:r>
      <w:r>
        <w:t xml:space="preserve"> </w:t>
      </w:r>
      <w:r>
        <w:rPr>
          <w:i/>
          <w:iCs/>
        </w:rPr>
        <w:t xml:space="preserve">old</w:t>
      </w:r>
      <w:r>
        <w:t xml:space="preserve"> </w:t>
      </w:r>
      <w:r>
        <w:t xml:space="preserve">state (transplantation arm predicts rollback).</w:t>
      </w:r>
    </w:p>
    <w:p>
      <w:pPr>
        <w:jc w:val="both"/>
        <w:pStyle w:val="BlockText"/>
      </w:pPr>
      <w:r>
        <w:rPr>
          <w:b/>
          <w:bCs/>
        </w:rPr>
        <w:t xml:space="preserve">Synthesis:</w:t>
      </w:r>
      <w:r>
        <w:t xml:space="preserve"> </w:t>
      </w:r>
      <w:r>
        <w:t xml:space="preserve">Renzova 2018 measured the ratchet’s release in one direction (pluripotent → down). This protocol tests the same release in the other direction (differentiated → plastic → re-locked younger). The two results are opposite sides of one mechanism — the ratchet is unidirectional, so the outcome of centriole loss depends entirely on the starting state. This is the deepest available reconciliation of the closest prior experiment with the hypothesis.</w:t>
      </w:r>
    </w:p>
    <w:p>
      <w:pPr>
        <w:jc w:val="both"/>
        <w:pStyle w:val="BlockText"/>
      </w:pPr>
      <w:r>
        <w:rPr>
          <w:b/>
          <w:bCs/>
        </w:rPr>
        <w:t xml:space="preserve">Pre-specified falsification of the ratchet model alone (evidence-based response):</w:t>
      </w:r>
      <w:r>
        <w:t xml:space="preserve"> </w:t>
      </w:r>
      <w:r>
        <w:t xml:space="preserve">the ratchet model is falsified</w:t>
      </w:r>
      <w:r>
        <w:t xml:space="preserve"> </w:t>
      </w:r>
      <w:r>
        <w:rPr>
          <w:b/>
          <w:bCs/>
        </w:rPr>
        <w:t xml:space="preserve">independently of H2</w:t>
      </w:r>
      <w:r>
        <w:t xml:space="preserve"> </w:t>
      </w:r>
      <w:r>
        <w:t xml:space="preserve">if either of two patterns occurs: (a)</w:t>
      </w:r>
      <w:r>
        <w:t xml:space="preserve"> </w:t>
      </w:r>
      <w:r>
        <w:rPr>
          <w:b/>
          <w:bCs/>
        </w:rPr>
        <w:t xml:space="preserve">no direction-dependence</w:t>
      </w:r>
      <w:r>
        <w:t xml:space="preserve"> </w:t>
      </w:r>
      <w:r>
        <w:t xml:space="preserve">— centriole loss in somatic cells produces the</w:t>
      </w:r>
      <w:r>
        <w:t xml:space="preserve"> </w:t>
      </w:r>
      <w:r>
        <w:rPr>
          <w:i/>
          <w:iCs/>
        </w:rPr>
        <w:t xml:space="preserve">same</w:t>
      </w:r>
      <w:r>
        <w:t xml:space="preserve"> </w:t>
      </w:r>
      <w:r>
        <w:t xml:space="preserve">outcome as in pluripotent cells (differentiation/loss of identity) despite p53 suppression and fibroblast identity, i.e., the starting state does not set the outcome; or (b)</w:t>
      </w:r>
      <w:r>
        <w:t xml:space="preserve"> </w:t>
      </w:r>
      <w:r>
        <w:rPr>
          <w:b/>
          <w:bCs/>
        </w:rPr>
        <w:t xml:space="preserve">no re-locking</w:t>
      </w:r>
      <w:r>
        <w:t xml:space="preserve"> </w:t>
      </w:r>
      <w:r>
        <w:t xml:space="preserve">— after verified de novo assembly the cell does not stably maintain the new state (rollback to the old phenotype within 10 passages) even though CRCS improves transiently. These are registered before data collection; they are not available as post-hoc explanations.</w:t>
      </w:r>
    </w:p>
    <w:p>
      <w:pPr>
        <w:pStyle w:val="Heading3"/>
      </w:pPr>
      <w:r>
        <w:t xml:space="preserve">4.3 Mechanistic hypotheses (peer-review-critical:</w:t>
      </w:r>
      <w:r>
        <w:t xml:space="preserve"> </w:t>
      </w:r>
      <w:r>
        <w:t xml:space="preserve">“through what pathway?”</w:t>
      </w:r>
      <w:r>
        <w:t xml:space="preserve">)</w:t>
      </w:r>
    </w:p>
    <w:p>
      <w:pPr>
        <w:jc w:val="both"/>
        <w:pStyle w:val="FirstParagraph"/>
      </w:pPr>
      <w:r>
        <w:t xml:space="preserve">For each mechanistic hallmark, a concrete molecular route from centriole state to phenotype is proposed (all [H], each with a specific assay):</w:t>
      </w:r>
    </w:p>
    <w:tbl>
      <w:tblPr>
        <w:tblStyle w:val="Table"/>
        <w:tblW w:w="9026" w:type="dxa"/>
        <w:tblLayout w:type="fixed"/>
        <w:tblLook w:firstRow="1" w:lastRow="0" w:firstColumn="0" w:lastColumn="0" w:noHBand="0" w:noVBand="0" w:val="0020"/>
        <w:jc w:val="center"/>
      </w:tblPr>
      <w:tblGrid>
        <w:gridCol w:w="1237"/>
        <w:gridCol w:w="2722"/>
        <w:gridCol w:w="3960"/>
      </w:tblGrid>
      <w:tr>
        <w:trPr>
          <w:tblHeader w:val="on"/>
        </w:trPr>
        <w:tc>
          <w:tcPr/>
          <w:p>
            <w:pPr>
              <w:jc w:val="both"/>
              <w:pStyle w:val="Compact"/>
            </w:pPr>
            <w:r>
              <w:t xml:space="preserve">Hallmark</w:t>
            </w:r>
          </w:p>
        </w:tc>
        <w:tc>
          <w:tcPr/>
          <w:p>
            <w:pPr>
              <w:jc w:val="both"/>
              <w:pStyle w:val="Compact"/>
            </w:pPr>
            <w:r>
              <w:t xml:space="preserve">Mechanistic route [H]</w:t>
            </w:r>
          </w:p>
        </w:tc>
        <w:tc>
          <w:tcPr/>
          <w:p>
            <w:pPr>
              <w:jc w:val="both"/>
              <w:pStyle w:val="Compact"/>
            </w:pPr>
            <w:r>
              <w:t xml:space="preserve">Pathway assay</w:t>
            </w:r>
          </w:p>
        </w:tc>
      </w:tr>
      <w:tr>
        <w:tc>
          <w:tcPr/>
          <w:p>
            <w:pPr>
              <w:jc w:val="both"/>
              <w:pStyle w:val="Compact"/>
            </w:pPr>
            <w:r>
              <w:rPr>
                <w:sz w:val="18"/>
                <w:szCs w:val="18"/>
                <w:b/>
                <w:bCs/>
              </w:rPr>
              <w:t xml:space="preserve">H3 Epigenome</w:t>
            </w:r>
          </w:p>
        </w:tc>
        <w:tc>
          <w:tcPr/>
          <w:p>
            <w:pPr>
              <w:jc w:val="both"/>
              <w:pStyle w:val="Compact"/>
            </w:pPr>
            <w:r>
              <w:t xml:space="preserve">The primary cilium is templated on the mother centriole; ciliary signaling (Hedgehog–GLI, Wnt) feeds back on chromatin regulators (PRC2, TET). A fresh mother centriole → fresh cilium → rebalanced GLI/TET activity → DNA-methylation drift partially reversible</w:t>
            </w:r>
          </w:p>
        </w:tc>
        <w:tc>
          <w:tcPr/>
          <w:p>
            <w:pPr>
              <w:jc w:val="both"/>
              <w:pStyle w:val="Compact"/>
            </w:pPr>
            <w:r>
              <w:t xml:space="preserve">Ciliary proteome MS; GLI1/2 activity; TET2 ChIP; EPIC clock</w:t>
            </w:r>
          </w:p>
        </w:tc>
      </w:tr>
      <w:tr>
        <w:tc>
          <w:tcPr/>
          <w:p>
            <w:pPr>
              <w:jc w:val="both"/>
              <w:pStyle w:val="Compact"/>
            </w:pPr>
            <w:r>
              <w:rPr>
                <w:b/>
                <w:bCs/>
              </w:rPr>
              <w:t xml:space="preserve">H1 Genome</w:t>
            </w:r>
          </w:p>
        </w:tc>
        <w:tc>
          <w:tcPr/>
          <w:p>
            <w:pPr>
              <w:jc w:val="both"/>
              <w:pStyle w:val="Compact"/>
            </w:pPr>
            <w:r>
              <w:t xml:space="preserve">Aged/supernumerary centrioles cause segregation errors (Shin 2021); a verified 2-centriole set restores error-free division.</w:t>
            </w:r>
            <w:r>
              <w:t xml:space="preserve"> </w:t>
            </w:r>
            <w:r>
              <w:rPr>
                <w:b/>
                <w:bCs/>
              </w:rPr>
              <w:t xml:space="preserve">Note:</w:t>
            </w:r>
            <w:r>
              <w:t xml:space="preserve"> </w:t>
            </w:r>
            <w:r>
              <w:t xml:space="preserve">accumulated SNVs are NOT erased — H1 is limited to segregation/structural errors</w:t>
            </w:r>
          </w:p>
        </w:tc>
        <w:tc>
          <w:tcPr/>
          <w:p>
            <w:pPr>
              <w:jc w:val="both"/>
              <w:pStyle w:val="Compact"/>
            </w:pPr>
            <w:r>
              <w:t xml:space="preserve">Micronucleus, γH2AX, scDNA-seq</w:t>
            </w:r>
          </w:p>
        </w:tc>
      </w:tr>
      <w:tr>
        <w:tc>
          <w:tcPr/>
          <w:p>
            <w:pPr>
              <w:jc w:val="both"/>
              <w:pStyle w:val="Compact"/>
            </w:pPr>
            <w:r>
              <w:rPr>
                <w:b/>
                <w:bCs/>
              </w:rPr>
              <w:t xml:space="preserve">H4 Proteostasis</w:t>
            </w:r>
          </w:p>
        </w:tc>
        <w:tc>
          <w:tcPr/>
          <w:p>
            <w:pPr>
              <w:jc w:val="both"/>
              <w:pStyle w:val="Compact"/>
            </w:pPr>
            <w:r>
              <w:t xml:space="preserve">PolyE on aged centriolar tubulin (TTLL5/6) seeds the nucleus-to-cilium scaffold (Robichaud 2024); a polyE-free centriole removes the seed. Insoluble-aggregate burden assayed independently</w:t>
            </w:r>
          </w:p>
        </w:tc>
        <w:tc>
          <w:tcPr/>
          <w:p>
            <w:pPr>
              <w:jc w:val="both"/>
              <w:pStyle w:val="Compact"/>
            </w:pPr>
            <w:r>
              <w:t xml:space="preserve">GT335; ProteoStat; insolubility assay</w:t>
            </w:r>
          </w:p>
        </w:tc>
      </w:tr>
      <w:tr>
        <w:tc>
          <w:tcPr/>
          <w:p>
            <w:pPr>
              <w:jc w:val="both"/>
              <w:pStyle w:val="Compact"/>
            </w:pPr>
            <w:r>
              <w:rPr>
                <w:b/>
                <w:bCs/>
              </w:rPr>
              <w:t xml:space="preserve">H5 Autophagy</w:t>
            </w:r>
          </w:p>
        </w:tc>
        <w:tc>
          <w:tcPr/>
          <w:p>
            <w:pPr>
              <w:jc w:val="both"/>
              <w:pStyle w:val="Compact"/>
            </w:pPr>
            <w:r>
              <w:t xml:space="preserve">Centriole loss induces selective autophagic clearance of centrosomal remnants; recovery normalizes flux. Measured, not assumed</w:t>
            </w:r>
          </w:p>
        </w:tc>
        <w:tc>
          <w:tcPr/>
          <w:p>
            <w:pPr>
              <w:jc w:val="both"/>
              <w:pStyle w:val="Compact"/>
            </w:pPr>
            <w:r>
              <w:t xml:space="preserve">LC3 flux, p62, mito-Keima</w:t>
            </w:r>
          </w:p>
        </w:tc>
      </w:tr>
      <w:tr>
        <w:tc>
          <w:tcPr/>
          <w:p>
            <w:pPr>
              <w:jc w:val="both"/>
              <w:pStyle w:val="Compact"/>
            </w:pPr>
            <w:r>
              <w:rPr>
                <w:b/>
                <w:bCs/>
              </w:rPr>
              <w:t xml:space="preserve">H7 Mitochondria</w:t>
            </w:r>
          </w:p>
        </w:tc>
        <w:tc>
          <w:tcPr/>
          <w:p>
            <w:pPr>
              <w:jc w:val="both"/>
              <w:pStyle w:val="Compact"/>
            </w:pPr>
            <w:r>
              <w:t xml:space="preserve">No direct route — indirect via ciliary signaling (Wnt/mTOR) and reduced SASP-driven ROS. Covariate, not causal claim</w:t>
            </w:r>
          </w:p>
        </w:tc>
        <w:tc>
          <w:tcPr/>
          <w:p>
            <w:pPr>
              <w:jc w:val="both"/>
              <w:pStyle w:val="Compact"/>
            </w:pPr>
            <w:r>
              <w:t xml:space="preserve">Seahorse; mitoSOX; heteroplasmy</w:t>
            </w:r>
          </w:p>
        </w:tc>
      </w:tr>
      <w:tr>
        <w:tc>
          <w:tcPr/>
          <w:p>
            <w:pPr>
              <w:jc w:val="both"/>
              <w:pStyle w:val="Compact"/>
            </w:pPr>
            <w:r>
              <w:rPr>
                <w:b/>
                <w:bCs/>
              </w:rPr>
              <w:t xml:space="preserve">H8 Senescence</w:t>
            </w:r>
          </w:p>
        </w:tc>
        <w:tc>
          <w:tcPr/>
          <w:p>
            <w:pPr>
              <w:jc w:val="both"/>
              <w:pStyle w:val="Compact"/>
            </w:pPr>
            <w:r>
              <w:t xml:space="preserve">Direct route: polyE MT scaffold → KIFC3 → FBF1 → PML (Robichaud 2024). Fresh centriole lacks the scaffold</w:t>
            </w:r>
          </w:p>
        </w:tc>
        <w:tc>
          <w:tcPr/>
          <w:p>
            <w:pPr>
              <w:jc w:val="both"/>
              <w:pStyle w:val="Compact"/>
            </w:pPr>
            <w:r>
              <w:t xml:space="preserve">SA-β-gal; p16/p21; SASP panel; KIFC3/FBF1 localization</w:t>
            </w:r>
          </w:p>
        </w:tc>
      </w:tr>
      <w:tr>
        <w:tc>
          <w:tcPr/>
          <w:p>
            <w:pPr>
              <w:jc w:val="both"/>
              <w:pStyle w:val="Compact"/>
            </w:pPr>
            <w:r>
              <w:rPr>
                <w:b/>
                <w:bCs/>
              </w:rPr>
              <w:t xml:space="preserve">H9 Stem cells</w:t>
            </w:r>
          </w:p>
        </w:tc>
        <w:tc>
          <w:tcPr/>
          <w:p>
            <w:pPr>
              <w:jc w:val="both"/>
              <w:pStyle w:val="Compact"/>
            </w:pPr>
            <w:r>
              <w:t xml:space="preserve">Asymmetric inheritance: mother centriole retained by stem cell (Yamashita 2007, Wang 2009). A symmetric young pair removes the</w:t>
            </w:r>
            <w:r>
              <w:t xml:space="preserve"> </w:t>
            </w:r>
            <w:r>
              <w:t xml:space="preserve">“pre-aged”</w:t>
            </w:r>
            <w:r>
              <w:t xml:space="preserve"> </w:t>
            </w:r>
            <w:r>
              <w:t xml:space="preserve">bias</w:t>
            </w:r>
          </w:p>
        </w:tc>
        <w:tc>
          <w:tcPr/>
          <w:p>
            <w:pPr>
              <w:jc w:val="both"/>
              <w:pStyle w:val="Compact"/>
            </w:pPr>
            <w:r>
              <w:t xml:space="preserve">Lineage tracing; centrosome tracking; serial passaging</w:t>
            </w:r>
          </w:p>
        </w:tc>
      </w:tr>
    </w:tbl>
    <w:p>
      <w:pPr>
        <w:jc w:val="both"/>
        <w:pStyle w:val="BlockText"/>
      </w:pPr>
      <w:r>
        <w:rPr>
          <w:b/>
          <w:bCs/>
        </w:rPr>
        <w:t xml:space="preserve">Honest scope:</w:t>
      </w:r>
      <w:r>
        <w:t xml:space="preserve"> </w:t>
      </w:r>
      <w:r>
        <w:t xml:space="preserve">routes marked direct (H4, H8, H9, H3) have a published molecular mediator,</w:t>
      </w:r>
      <w:r>
        <w:t xml:space="preserve"> </w:t>
      </w:r>
      <w:r>
        <w:rPr>
          <w:b/>
          <w:bCs/>
        </w:rPr>
        <w:t xml:space="preserve">but causality in the reset direction is untested</w:t>
      </w:r>
      <w:r>
        <w:t xml:space="preserve"> </w:t>
      </w:r>
      <w:r>
        <w:t xml:space="preserve">(correction:</w:t>
      </w:r>
      <w:r>
        <w:t xml:space="preserve"> </w:t>
      </w:r>
      <w:r>
        <w:t xml:space="preserve">“direct route”</w:t>
      </w:r>
      <w:r>
        <w:t xml:space="preserve"> </w:t>
      </w:r>
      <w:r>
        <w:t xml:space="preserve">→</w:t>
      </w:r>
      <w:r>
        <w:t xml:space="preserve"> </w:t>
      </w:r>
      <w:r>
        <w:t xml:space="preserve">“plausible mediator, causal direction untested”</w:t>
      </w:r>
      <w:r>
        <w:t xml:space="preserve">); H1 is limited to segregation errors; H5, H7 are measured as covariates with no causal claim. This converts the program from</w:t>
      </w:r>
      <w:r>
        <w:t xml:space="preserve"> </w:t>
      </w:r>
      <w:r>
        <w:t xml:space="preserve">“measure everything, hope”</w:t>
      </w:r>
      <w:r>
        <w:t xml:space="preserve"> </w:t>
      </w:r>
      <w:r>
        <w:t xml:space="preserve">to a set of testable pathway hypotheses.</w:t>
      </w:r>
    </w:p>
    <w:p>
      <w:pPr>
        <w:jc w:val="both"/>
        <w:pStyle w:val="BlockText"/>
      </w:pPr>
      <w:r>
        <w:rPr>
          <w:b/>
          <w:bCs/>
        </w:rPr>
        <w:t xml:space="preserve">Test of the</w:t>
      </w:r>
      <w:r>
        <w:rPr>
          <w:b/>
          <w:bCs/>
        </w:rPr>
        <w:t xml:space="preserve"> </w:t>
      </w:r>
      <w:r>
        <w:rPr>
          <w:b/>
          <w:bCs/>
        </w:rPr>
        <w:t xml:space="preserve">“programmed geometry”</w:t>
      </w:r>
      <w:r>
        <w:rPr>
          <w:b/>
          <w:bCs/>
        </w:rPr>
        <w:t xml:space="preserve"> </w:t>
      </w:r>
      <w:r>
        <w:rPr>
          <w:b/>
          <w:bCs/>
        </w:rPr>
        <w:t xml:space="preserve">claim (critical assessment):</w:t>
      </w:r>
      <w:r>
        <w:t xml:space="preserve"> </w:t>
      </w:r>
      <w:r>
        <w:t xml:space="preserve">the claim</w:t>
      </w:r>
      <w:r>
        <w:t xml:space="preserve"> </w:t>
      </w:r>
      <w:r>
        <w:t xml:space="preserve">“templated geometry change is programmed — part of the differentiation mechanism”</w:t>
      </w:r>
      <w:r>
        <w:t xml:space="preserve"> </w:t>
      </w:r>
      <w:r>
        <w:t xml:space="preserve">is</w:t>
      </w:r>
      <w:r>
        <w:t xml:space="preserve"> </w:t>
      </w:r>
      <w:r>
        <w:rPr>
          <w:b/>
          <w:bCs/>
        </w:rPr>
        <w:t xml:space="preserve">not assumed; it is made falsifiable</w:t>
      </w:r>
      <w:r>
        <w:t xml:space="preserve">. H_programmed: the geometry of de novo-assembled centrioles (cryo-ET: length, cartwheel integrity, over-elongation rate)</w:t>
      </w:r>
      <w:r>
        <w:t xml:space="preserve"> </w:t>
      </w:r>
      <w:r>
        <w:rPr>
          <w:b/>
          <w:bCs/>
        </w:rPr>
        <w:t xml:space="preserve">differs</w:t>
      </w:r>
      <w:r>
        <w:t xml:space="preserve"> </w:t>
      </w:r>
      <w:r>
        <w:t xml:space="preserve">from templated (aged) ones. Prediction: if de novo centrioles in the same cell type are geometrically indistinguishable from aged templated ones → geometry is a passive product of assembly, and the</w:t>
      </w:r>
      <w:r>
        <w:t xml:space="preserve"> </w:t>
      </w:r>
      <w:r>
        <w:t xml:space="preserve">“programmed”</w:t>
      </w:r>
      <w:r>
        <w:t xml:space="preserve"> </w:t>
      </w:r>
      <w:r>
        <w:t xml:space="preserve">claim is weakened; if they are systematically different (e.g., young-like length/cartwheel) → the programmed/developmentally-coupled interpretation is supported. Measured in Proof D (de novo functional verification), n = 20–30 cells/condition, cryo-ET.</w:t>
      </w:r>
    </w:p>
    <w:p>
      <w:pPr>
        <w:pStyle w:val="Heading2"/>
      </w:pPr>
      <w:r>
        <w:t xml:space="preserve">5. Causal Architecture (levels of evidence ladder)</w:t>
      </w:r>
    </w:p>
    <w:p>
      <w:pPr>
        <w:jc w:val="both"/>
        <w:pStyle w:val="SourceCode"/>
      </w:pPr>
      <w:r>
        <w:rPr>
          <w:rStyle w:val="VerbatimChar"/>
        </w:rPr>
        <w:t xml:space="preserve">AGING → centriole structural state → centriole inheritance → stem-cell functional state</w:t>
      </w:r>
      <w:r>
        <w:br/>
      </w:r>
      <w:r>
        <w:rPr>
          <w:rStyle w:val="VerbatimChar"/>
        </w:rPr>
        <w:t xml:space="preserve">      → tissue regenerative capacity → age-associated phenotype</w:t>
      </w:r>
    </w:p>
    <w:p>
      <w:pPr>
        <w:jc w:val="both"/>
        <w:pStyle w:val="SourceCode"/>
      </w:pPr>
      <w:r>
        <w:rPr>
          <w:rStyle w:val="VerbatimChar"/>
        </w:rPr>
        <w:t xml:space="preserve">Intervention: centriole elimination → verified de novo biogenesis → functional young centriole</w:t>
      </w:r>
      <w:r>
        <w:br/>
      </w:r>
      <w:r>
        <w:rPr>
          <w:rStyle w:val="VerbatimChar"/>
        </w:rPr>
        <w:t xml:space="preserve">      → cellular phenotype → stem-cell phenotype</w:t>
      </w:r>
      <w:r>
        <w:br/>
      </w:r>
      <w:r>
        <w:rPr>
          <w:rStyle w:val="VerbatimChar"/>
        </w:rPr>
        <w:t xml:space="preserve">Positive control (parallel): OSK → epigenetic rejuvenation</w:t>
      </w:r>
      <w:r>
        <w:br/>
      </w:r>
      <w:r>
        <w:rPr>
          <w:rStyle w:val="VerbatimChar"/>
        </w:rPr>
        <w:t xml:space="preserve">Central experiment: OSK × centriole reset</w:t>
      </w:r>
    </w:p>
    <w:p>
      <w:pPr>
        <w:jc w:val="both"/>
        <w:pStyle w:val="FirstParagraph"/>
      </w:pPr>
      <w:r>
        <w:rPr>
          <w:b/>
          <w:bCs/>
        </w:rPr>
        <w:t xml:space="preserve">Proof ladder</w:t>
      </w:r>
      <w:r>
        <w:t xml:space="preserve"> </w:t>
      </w:r>
      <w:r>
        <w:t xml:space="preserve">— each level possible only on success of the previous:</w:t>
      </w:r>
      <w:r>
        <w:t xml:space="preserve"> </w:t>
      </w:r>
      <w:r>
        <w:t xml:space="preserve">1.</w:t>
      </w:r>
      <w:r>
        <w:t xml:space="preserve"> </w:t>
      </w:r>
      <w:r>
        <w:rPr>
          <w:b/>
          <w:bCs/>
        </w:rPr>
        <w:t xml:space="preserve">Organelle</w:t>
      </w:r>
      <w:r>
        <w:t xml:space="preserve"> </w:t>
      </w:r>
      <w:r>
        <w:t xml:space="preserve">— structure/age (EM, cryo-ET, PTM mass spec)</w:t>
      </w:r>
      <w:r>
        <w:t xml:space="preserve"> </w:t>
      </w:r>
      <w:r>
        <w:t xml:space="preserve">2.</w:t>
      </w:r>
      <w:r>
        <w:t xml:space="preserve"> </w:t>
      </w:r>
      <w:r>
        <w:rPr>
          <w:b/>
          <w:bCs/>
        </w:rPr>
        <w:t xml:space="preserve">Cell</w:t>
      </w:r>
      <w:r>
        <w:t xml:space="preserve"> </w:t>
      </w:r>
      <w:r>
        <w:t xml:space="preserve">— division, senescence, mitochondria, epigenome (CRCS)</w:t>
      </w:r>
      <w:r>
        <w:t xml:space="preserve"> </w:t>
      </w:r>
      <w:r>
        <w:t xml:space="preserve">3.</w:t>
      </w:r>
      <w:r>
        <w:t xml:space="preserve"> </w:t>
      </w:r>
      <w:r>
        <w:rPr>
          <w:b/>
          <w:bCs/>
        </w:rPr>
        <w:t xml:space="preserve">Stem cell</w:t>
      </w:r>
      <w:r>
        <w:t xml:space="preserve"> </w:t>
      </w:r>
      <w:r>
        <w:t xml:space="preserve">— self-renewal, differentiation, regenerative capacity</w:t>
      </w:r>
      <w:r>
        <w:t xml:space="preserve"> </w:t>
      </w:r>
      <w:r>
        <w:t xml:space="preserve">4.</w:t>
      </w:r>
      <w:r>
        <w:t xml:space="preserve"> </w:t>
      </w:r>
      <w:r>
        <w:rPr>
          <w:b/>
          <w:bCs/>
        </w:rPr>
        <w:t xml:space="preserve">Tissue</w:t>
      </w:r>
      <w:r>
        <w:t xml:space="preserve"> </w:t>
      </w:r>
      <w:r>
        <w:t xml:space="preserve">— organoid/regeneration</w:t>
      </w:r>
      <w:r>
        <w:t xml:space="preserve"> </w:t>
      </w:r>
      <w:r>
        <w:t xml:space="preserve">5.</w:t>
      </w:r>
      <w:r>
        <w:t xml:space="preserve"> </w:t>
      </w:r>
      <w:r>
        <w:rPr>
          <w:b/>
          <w:bCs/>
        </w:rPr>
        <w:t xml:space="preserve">Organism</w:t>
      </w:r>
      <w:r>
        <w:t xml:space="preserve"> </w:t>
      </w:r>
      <w:r>
        <w:t xml:space="preserve">— healthspan/lifespan (in vivo, only if 1–4 pass)</w:t>
      </w:r>
    </w:p>
    <w:p>
      <w:pPr>
        <w:jc w:val="both"/>
        <w:pStyle w:val="BodyText"/>
      </w:pPr>
      <w:r>
        <w:t xml:space="preserve">No systemic</w:t>
      </w:r>
      <w:r>
        <w:t xml:space="preserve"> </w:t>
      </w:r>
      <w:r>
        <w:t xml:space="preserve">“rejuvenation”</w:t>
      </w:r>
      <w:r>
        <w:t xml:space="preserve"> </w:t>
      </w:r>
      <w:r>
        <w:t xml:space="preserve">claim is made at levels 3–5 without data at those levels.</w:t>
      </w:r>
    </w:p>
    <w:p>
      <w:pPr>
        <w:pStyle w:val="Heading2"/>
      </w:pPr>
      <w:r>
        <w:t xml:space="preserve">6. Experimental Design</w:t>
      </w:r>
    </w:p>
    <w:p>
      <w:pPr>
        <w:pStyle w:val="Heading3"/>
      </w:pPr>
      <w:r>
        <w:t xml:space="preserve">6.1 The 2×2 factorial with formal interaction</w:t>
      </w:r>
    </w:p>
    <w:tbl>
      <w:tblPr>
        <w:tblStyle w:val="Table"/>
        <w:tblW w:w="9026" w:type="dxa"/>
        <w:tblLook w:firstRow="1" w:lastRow="0" w:firstColumn="0" w:lastColumn="0" w:noHBand="0" w:noVBand="0" w:val="0020"/>
        <w:jc w:val="center"/>
      </w:tblPr>
      <w:tblGrid>
        <w:gridCol w:w="2640"/>
        <w:gridCol w:w="2640"/>
        <w:gridCol w:w="2640"/>
      </w:tblGrid>
      <w:tr>
        <w:trPr>
          <w:tblHeader w:val="on"/>
        </w:trPr>
        <w:tc>
          <w:tcPr/>
          <w:p>
            <w:pPr>
              <w:jc w:val="both"/>
              <w:pStyle w:val="Compact"/>
            </w:pPr>
          </w:p>
        </w:tc>
        <w:tc>
          <w:tcPr/>
          <w:p>
            <w:pPr>
              <w:jc w:val="both"/>
              <w:pStyle w:val="Compact"/>
            </w:pPr>
            <w:r>
              <w:t xml:space="preserve">Centriole reset −</w:t>
            </w:r>
          </w:p>
        </w:tc>
        <w:tc>
          <w:tcPr/>
          <w:p>
            <w:pPr>
              <w:jc w:val="both"/>
              <w:pStyle w:val="Compact"/>
            </w:pPr>
            <w:r>
              <w:t xml:space="preserve">Centriole reset +</w:t>
            </w:r>
          </w:p>
        </w:tc>
      </w:tr>
      <w:tr>
        <w:tc>
          <w:tcPr/>
          <w:p>
            <w:pPr>
              <w:jc w:val="both"/>
              <w:pStyle w:val="Compact"/>
            </w:pPr>
            <w:r>
              <w:rPr>
                <w:sz w:val="18"/>
                <w:szCs w:val="18"/>
                <w:b/>
                <w:bCs/>
              </w:rPr>
              <w:t xml:space="preserve">OSK −</w:t>
            </w:r>
          </w:p>
        </w:tc>
        <w:tc>
          <w:tcPr/>
          <w:p>
            <w:pPr>
              <w:jc w:val="both"/>
              <w:pStyle w:val="Compact"/>
            </w:pPr>
            <w:r>
              <w:t xml:space="preserve">A (control)</w:t>
            </w:r>
          </w:p>
        </w:tc>
        <w:tc>
          <w:tcPr/>
          <w:p>
            <w:pPr>
              <w:jc w:val="both"/>
              <w:pStyle w:val="Compact"/>
            </w:pPr>
            <w:r>
              <w:t xml:space="preserve">B</w:t>
            </w:r>
          </w:p>
        </w:tc>
      </w:tr>
      <w:tr>
        <w:tc>
          <w:tcPr/>
          <w:p>
            <w:pPr>
              <w:jc w:val="both"/>
              <w:pStyle w:val="Compact"/>
            </w:pPr>
            <w:r>
              <w:rPr>
                <w:b/>
                <w:bCs/>
              </w:rPr>
              <w:t xml:space="preserve">OSK +</w:t>
            </w:r>
          </w:p>
        </w:tc>
        <w:tc>
          <w:tcPr/>
          <w:p>
            <w:pPr>
              <w:jc w:val="both"/>
              <w:pStyle w:val="Compact"/>
            </w:pPr>
            <w:r>
              <w:t xml:space="preserve">C (OSK benchmark)</w:t>
            </w:r>
          </w:p>
        </w:tc>
        <w:tc>
          <w:tcPr/>
          <w:p>
            <w:pPr>
              <w:jc w:val="both"/>
              <w:pStyle w:val="Compact"/>
            </w:pPr>
            <w:r>
              <w:t xml:space="preserve">D (OSK + reset)</w:t>
            </w:r>
          </w:p>
        </w:tc>
      </w:tr>
    </w:tbl>
    <w:p>
      <w:pPr>
        <w:jc w:val="both"/>
        <w:pStyle w:val="BodyText"/>
      </w:pPr>
      <w:r>
        <w:rPr>
          <w:b/>
          <w:bCs/>
        </w:rPr>
        <w:t xml:space="preserve">Statistical question (per independent verification):</w:t>
      </w:r>
      <w:r>
        <w:t xml:space="preserve"> </w:t>
      </w:r>
      <w:r>
        <w:t xml:space="preserve">not</w:t>
      </w:r>
      <w:r>
        <w:t xml:space="preserve"> </w:t>
      </w:r>
      <w:r>
        <w:t xml:space="preserve">“B &gt; A”</w:t>
      </w:r>
      <w:r>
        <w:t xml:space="preserve"> </w:t>
      </w:r>
      <w:r>
        <w:t xml:space="preserve">alone, but — is there a significant</w:t>
      </w:r>
      <w:r>
        <w:t xml:space="preserve"> </w:t>
      </w:r>
      <w:r>
        <w:rPr>
          <w:b/>
          <w:bCs/>
        </w:rPr>
        <w:t xml:space="preserve">main effect of centriole reset</w:t>
      </w:r>
      <w:r>
        <w:t xml:space="preserve"> </w:t>
      </w:r>
      <w:r>
        <w:t xml:space="preserve">and a significant</w:t>
      </w:r>
      <w:r>
        <w:t xml:space="preserve"> </w:t>
      </w:r>
      <w:r>
        <w:rPr>
          <w:b/>
          <w:bCs/>
        </w:rPr>
        <w:t xml:space="preserve">OSK × reset interaction</w:t>
      </w:r>
      <w:r>
        <w:t xml:space="preserve"> </w:t>
      </w:r>
      <w:r>
        <w:t xml:space="preserve">(two-way ANOVA / mixed model)? This separates an additive mechanism from an OSK-dependent one.</w:t>
      </w:r>
    </w:p>
    <w:p>
      <w:pPr>
        <w:jc w:val="both"/>
        <w:pStyle w:val="BodyText"/>
      </w:pPr>
      <w:r>
        <w:rPr>
          <w:b/>
          <w:bCs/>
        </w:rPr>
        <w:t xml:space="preserve">Temporal-dissociation arm F (v8.2):</w:t>
      </w:r>
      <w:r>
        <w:t xml:space="preserve"> </w:t>
      </w:r>
      <w:r>
        <w:t xml:space="preserve">OSK cyclic expression takes 10–14 days (Ocampo 2016; Lu 2020); centriole elimination + de novo takes 3–5 days. In arm D (simultaneous OSK+Reset), OSK-driven cytoplasmic remodeling (chaperones, TTLL5/6) could</w:t>
      </w:r>
      <w:r>
        <w:t xml:space="preserve"> </w:t>
      </w:r>
      <w:r>
        <w:t xml:space="preserve">“pre-clean”</w:t>
      </w:r>
      <w:r>
        <w:t xml:space="preserve"> </w:t>
      </w:r>
      <w:r>
        <w:t xml:space="preserve">the cytoplasm before de novo assembly — making H3 (independence) untestable. Therefore a</w:t>
      </w:r>
      <w:r>
        <w:t xml:space="preserve"> </w:t>
      </w:r>
      <w:r>
        <w:rPr>
          <w:b/>
          <w:bCs/>
        </w:rPr>
        <w:t xml:space="preserve">sixth arm F is added: Reset → washout → 10 passages → OSK</w:t>
      </w:r>
      <w:r>
        <w:t xml:space="preserve">, testing whether the structural reset creates</w:t>
      </w:r>
      <w:r>
        <w:t xml:space="preserve"> </w:t>
      </w:r>
      <w:r>
        <w:rPr>
          <w:b/>
          <w:bCs/>
        </w:rPr>
        <w:t xml:space="preserve">long-term memory</w:t>
      </w:r>
      <w:r>
        <w:t xml:space="preserve"> </w:t>
      </w:r>
      <w:r>
        <w:t xml:space="preserve">that survives subsequent cytoplasmic/epigenetic aging. Prediction under CEDAR: reset benefits persist through the washout-and-aging interval (structural memory); prediction under the confounder: benefits decay as the cytoplasm re-ages (OSK-dependent artifact). Arm F is the temporal control that makes H3 interpretable; without it, arm D cannot separate</w:t>
      </w:r>
      <w:r>
        <w:t xml:space="preserve"> </w:t>
      </w:r>
      <w:r>
        <w:t xml:space="preserve">“reset independent of OSK”</w:t>
      </w:r>
      <w:r>
        <w:t xml:space="preserve"> </w:t>
      </w:r>
      <w:r>
        <w:t xml:space="preserve">from</w:t>
      </w:r>
      <w:r>
        <w:t xml:space="preserve"> </w:t>
      </w:r>
      <w:r>
        <w:t xml:space="preserve">“OSK pre-cleaned the cytoplasm.”</w:t>
      </w:r>
    </w:p>
    <w:p>
      <w:pPr>
        <w:jc w:val="both"/>
        <w:pStyle w:val="BodyText"/>
      </w:pPr>
      <w:r>
        <w:rPr>
          <w:b/>
          <w:bCs/>
        </w:rPr>
        <w:t xml:space="preserve">p53-suppression confounder control (critical assessment):</w:t>
      </w:r>
      <w:r>
        <w:t xml:space="preserve"> </w:t>
      </w:r>
      <w:r>
        <w:t xml:space="preserve">obtaining de novo centrioles in an untransformed cell likely requires</w:t>
      </w:r>
      <w:r>
        <w:t xml:space="preserve"> </w:t>
      </w:r>
      <w:r>
        <w:rPr>
          <w:b/>
          <w:bCs/>
        </w:rPr>
        <w:t xml:space="preserve">transient suppression of the p53/PIDDosome axis</w:t>
      </w:r>
      <w:r>
        <w:t xml:space="preserve"> </w:t>
      </w:r>
      <w:r>
        <w:t xml:space="preserve">(Wong 2015: normal cells arrest irreversibly without it). p53 suppression alone can alter hallmark readouts (genomic stability, senescence). Therefore a</w:t>
      </w:r>
      <w:r>
        <w:t xml:space="preserve"> </w:t>
      </w:r>
      <w:r>
        <w:rPr>
          <w:b/>
          <w:bCs/>
        </w:rPr>
        <w:t xml:space="preserve">dedicated control arm E</w:t>
      </w:r>
      <w:r>
        <w:t xml:space="preserve"> </w:t>
      </w:r>
      <w:r>
        <w:t xml:space="preserve">is added:</w:t>
      </w:r>
      <w:r>
        <w:t xml:space="preserve"> </w:t>
      </w:r>
      <w:r>
        <w:rPr>
          <w:i/>
          <w:iCs/>
        </w:rPr>
        <w:t xml:space="preserve">p53-suppression only, no centriole reset, no OSK</w:t>
      </w:r>
      <w:r>
        <w:t xml:space="preserve">. H6 is falsified (and all reset claims are confounded) if arm E matches arm B on CRCS. This makes p53 the</w:t>
      </w:r>
      <w:r>
        <w:t xml:space="preserve"> </w:t>
      </w:r>
      <w:r>
        <w:rPr>
          <w:b/>
          <w:bCs/>
        </w:rPr>
        <w:t xml:space="preserve">controlled variable of design</w:t>
      </w:r>
      <w:r>
        <w:t xml:space="preserve">, not an implicit technique.</w:t>
      </w:r>
    </w:p>
    <w:p>
      <w:pPr>
        <w:jc w:val="both"/>
        <w:pStyle w:val="BodyText"/>
      </w:pPr>
      <w:r>
        <w:rPr>
          <w:b/>
          <w:bCs/>
        </w:rPr>
        <w:t xml:space="preserve">Targeted override — arm E’ (v7.0, revision):</w:t>
      </w:r>
      <w:r>
        <w:t xml:space="preserve"> </w:t>
      </w:r>
      <w:r>
        <w:t xml:space="preserve">the p53 arrest after centrosome loss runs through the</w:t>
      </w:r>
      <w:r>
        <w:t xml:space="preserve"> </w:t>
      </w:r>
      <w:r>
        <w:rPr>
          <w:b/>
          <w:bCs/>
        </w:rPr>
        <w:t xml:space="preserve">mitotic surveillance pathway 53BP1–USP28–p53</w:t>
      </w:r>
      <w:r>
        <w:t xml:space="preserve"> </w:t>
      </w:r>
      <w:r>
        <w:t xml:space="preserve">(Fong 2016, eLife; Meitinger 2016, JCB), not the classical DNA-damage response. Global pifithrin-α (arm E) disables p53 transcription globally, risking silent genomic lesions that WGS detects too late.</w:t>
      </w:r>
      <w:r>
        <w:t xml:space="preserve"> </w:t>
      </w:r>
      <w:r>
        <w:rPr>
          <w:b/>
          <w:bCs/>
        </w:rPr>
        <w:t xml:space="preserve">Arm E’ (primary override): selective USP25/28 inhibition</w:t>
      </w:r>
      <w:r>
        <w:t xml:space="preserve"> </w:t>
      </w:r>
      <w:r>
        <w:t xml:space="preserve">(Bratt 2025, Cell Chem Biol; Hernandez-Olmos 2026, J Med Chem; structural basis: Patzke 2024,</w:t>
      </w:r>
      <w:r>
        <w:t xml:space="preserve"> </w:t>
      </w:r>
      <w:r>
        <w:rPr>
          <w:i/>
          <w:iCs/>
        </w:rPr>
        <w:t xml:space="preserve">EMBO Rep</w:t>
      </w:r>
      <w:r>
        <w:t xml:space="preserve">, PMID 38816515) — unlatches the USP28 bridge only, leaving p53 competent for genuine damage.</w:t>
      </w:r>
      <w:r>
        <w:t xml:space="preserve"> </w:t>
      </w:r>
      <w:r>
        <w:rPr>
          <w:b/>
          <w:bCs/>
        </w:rPr>
        <w:t xml:space="preserve">Genetic alternative (v7.5):</w:t>
      </w:r>
      <w:r>
        <w:t xml:space="preserve"> </w:t>
      </w:r>
      <w:r>
        <w:t xml:space="preserve">transient</w:t>
      </w:r>
      <w:r>
        <w:t xml:space="preserve"> </w:t>
      </w:r>
      <w:r>
        <w:rPr>
          <w:b/>
          <w:bCs/>
        </w:rPr>
        <w:t xml:space="preserve">CRISPRi against USP28 or 53BP1</w:t>
      </w:r>
      <w:r>
        <w:t xml:space="preserve"> </w:t>
      </w:r>
      <w:r>
        <w:t xml:space="preserve">(dCas9-KRAB, doxycycline-inducible) achieves the same targeted override without any chemical exposure — pre-registered as the orthogonal confirmation route (chemical vs. genetic override must agree on checkpoint passage rate).</w:t>
      </w:r>
      <w:r>
        <w:t xml:space="preserve"> </w:t>
      </w:r>
      <w:r>
        <w:rPr>
          <w:b/>
          <w:bCs/>
        </w:rPr>
        <w:t xml:space="preserve">Dual specificity control:</w:t>
      </w:r>
      <w:r>
        <w:t xml:space="preserve"> </w:t>
      </w:r>
      <w:r>
        <w:t xml:space="preserve">arms E (pifithrin-α-only) and E’ (USP28-inhibitor-only) run in parallel, both without reset/OSK; H6’ requires: (a) checkpoint passage rate E’ ≥ E (override works), (b) etoposide-challenge p53 response preserved in E’ but not E (specificity), (c) E’ ≤ A on CRCS (no independent rejuvenation signal). If E’ fails (a), the technical-barrier gate (§13 Phase 1) applies; if E’ shows a CRCS signal matching B, all reset claims are confounded (H6 falsified).</w:t>
      </w:r>
    </w:p>
    <w:p>
      <w:pPr>
        <w:pStyle w:val="Heading3"/>
      </w:pPr>
      <w:r>
        <w:t xml:space="preserve">6.1a OSK × reset interaction — interpretation matrix (critical assessment)</w:t>
      </w:r>
    </w:p>
    <w:p>
      <w:pPr>
        <w:jc w:val="both"/>
        <w:pStyle w:val="FirstParagraph"/>
      </w:pPr>
      <w:r>
        <w:t xml:space="preserve">Pre-specified interpretation of the 2×2 factorial,</w:t>
      </w:r>
      <w:r>
        <w:t xml:space="preserve"> </w:t>
      </w:r>
      <w:r>
        <w:rPr>
          <w:b/>
          <w:bCs/>
        </w:rPr>
        <w:t xml:space="preserve">locked before data</w:t>
      </w:r>
      <w:r>
        <w:t xml:space="preserve">:</w:t>
      </w:r>
    </w:p>
    <w:tbl>
      <w:tblPr>
        <w:tblStyle w:val="Table"/>
        <w:tblW w:w="9026" w:type="dxa"/>
        <w:tblLayout w:type="fixed"/>
        <w:tblLook w:firstRow="1" w:lastRow="0" w:firstColumn="0" w:lastColumn="0" w:noHBand="0" w:noVBand="0" w:val="0020"/>
        <w:jc w:val="center"/>
      </w:tblPr>
      <w:tblGrid>
        <w:gridCol w:w="2200"/>
        <w:gridCol w:w="2200"/>
        <w:gridCol w:w="1320"/>
        <w:gridCol w:w="2200"/>
      </w:tblGrid>
      <w:tr>
        <w:trPr>
          <w:tblHeader w:val="on"/>
        </w:trPr>
        <w:tc>
          <w:tcPr/>
          <w:p>
            <w:pPr>
              <w:jc w:val="both"/>
              <w:pStyle w:val="Compact"/>
            </w:pPr>
            <w:r>
              <w:t xml:space="preserve">Main effect of reset</w:t>
            </w:r>
          </w:p>
        </w:tc>
        <w:tc>
          <w:tcPr/>
          <w:p>
            <w:pPr>
              <w:jc w:val="both"/>
              <w:pStyle w:val="Compact"/>
            </w:pPr>
            <w:r>
              <w:t xml:space="preserve">OSK × reset interaction</w:t>
            </w:r>
          </w:p>
        </w:tc>
        <w:tc>
          <w:tcPr/>
          <w:p>
            <w:pPr>
              <w:jc w:val="both"/>
              <w:pStyle w:val="Compact"/>
            </w:pPr>
            <w:r>
              <w:t xml:space="preserve">Interpretation</w:t>
            </w:r>
          </w:p>
        </w:tc>
        <w:tc>
          <w:tcPr/>
          <w:p>
            <w:pPr>
              <w:jc w:val="both"/>
              <w:pStyle w:val="Compact"/>
            </w:pPr>
            <w:r>
              <w:t xml:space="preserve">Conclusion for H3</w:t>
            </w:r>
          </w:p>
        </w:tc>
      </w:tr>
      <w:tr>
        <w:tc>
          <w:tcPr/>
          <w:p>
            <w:pPr>
              <w:jc w:val="both"/>
              <w:pStyle w:val="Compact"/>
            </w:pPr>
            <w:r>
              <w:t xml:space="preserve">+</w:t>
            </w:r>
          </w:p>
        </w:tc>
        <w:tc>
          <w:tcPr/>
          <w:p>
            <w:pPr>
              <w:jc w:val="both"/>
              <w:pStyle w:val="Compact"/>
            </w:pPr>
            <w:r>
              <w:t xml:space="preserve">+ (synergy)</w:t>
            </w:r>
          </w:p>
        </w:tc>
        <w:tc>
          <w:tcPr/>
          <w:p>
            <w:pPr>
              <w:jc w:val="both"/>
              <w:pStyle w:val="Compact"/>
            </w:pPr>
            <w:r>
              <w:t xml:space="preserve">Reset amplifies OSK beyond additivity</w:t>
            </w:r>
          </w:p>
        </w:tc>
        <w:tc>
          <w:tcPr/>
          <w:p>
            <w:pPr>
              <w:jc w:val="both"/>
              <w:pStyle w:val="Compact"/>
            </w:pPr>
            <w:r>
              <w:t xml:space="preserve">H3 supported (independence of mechanism, super-additive benefit)</w:t>
            </w:r>
          </w:p>
        </w:tc>
      </w:tr>
      <w:tr>
        <w:tc>
          <w:tcPr/>
          <w:p>
            <w:pPr>
              <w:jc w:val="both"/>
              <w:pStyle w:val="Compact"/>
            </w:pPr>
            <w:r>
              <w:t xml:space="preserve">+</w:t>
            </w:r>
          </w:p>
        </w:tc>
        <w:tc>
          <w:tcPr/>
          <w:p>
            <w:pPr>
              <w:jc w:val="both"/>
              <w:pStyle w:val="Compact"/>
            </w:pPr>
            <w:r>
              <w:t xml:space="preserve">0 (additive)</w:t>
            </w:r>
          </w:p>
        </w:tc>
        <w:tc>
          <w:tcPr/>
          <w:p>
            <w:pPr>
              <w:jc w:val="both"/>
              <w:pStyle w:val="Compact"/>
            </w:pPr>
            <w:r>
              <w:t xml:space="preserve">Reset adds to OSK independently</w:t>
            </w:r>
          </w:p>
        </w:tc>
        <w:tc>
          <w:tcPr/>
          <w:p>
            <w:pPr>
              <w:jc w:val="both"/>
              <w:pStyle w:val="Compact"/>
            </w:pPr>
            <w:r>
              <w:t xml:space="preserve">H3 supported (independent additive mechanism)</w:t>
            </w:r>
          </w:p>
        </w:tc>
      </w:tr>
      <w:tr>
        <w:tc>
          <w:tcPr/>
          <w:p>
            <w:pPr>
              <w:jc w:val="both"/>
              <w:pStyle w:val="Compact"/>
            </w:pPr>
            <w:r>
              <w:t xml:space="preserve">+</w:t>
            </w:r>
          </w:p>
        </w:tc>
        <w:tc>
          <w:tcPr/>
          <w:p>
            <w:pPr>
              <w:jc w:val="both"/>
              <w:pStyle w:val="Compact"/>
            </w:pPr>
            <w:r>
              <w:t xml:space="preserve">− (sub-additive/antagonistic)</w:t>
            </w:r>
          </w:p>
        </w:tc>
        <w:tc>
          <w:tcPr/>
          <w:p>
            <w:pPr>
              <w:jc w:val="both"/>
              <w:pStyle w:val="Compact"/>
            </w:pPr>
            <w:r>
              <w:t xml:space="preserve">Reset partially substitutes for OSK</w:t>
            </w:r>
          </w:p>
        </w:tc>
        <w:tc>
          <w:tcPr/>
          <w:p>
            <w:pPr>
              <w:jc w:val="both"/>
              <w:pStyle w:val="Compact"/>
            </w:pPr>
            <w:r>
              <w:t xml:space="preserve">H3 qualified: benefit exists but not</w:t>
            </w:r>
            <w:r>
              <w:t xml:space="preserve"> </w:t>
            </w:r>
            <w:r>
              <w:t xml:space="preserve">“beyond OSK”</w:t>
            </w:r>
            <w:r>
              <w:t xml:space="preserve"> </w:t>
            </w:r>
            <w:r>
              <w:t xml:space="preserve">— reframe as alternative route</w:t>
            </w:r>
          </w:p>
        </w:tc>
      </w:tr>
      <w:tr>
        <w:tc>
          <w:tcPr/>
          <w:p>
            <w:pPr>
              <w:jc w:val="both"/>
              <w:pStyle w:val="Compact"/>
            </w:pPr>
            <w:r>
              <w:t xml:space="preserve">0</w:t>
            </w:r>
          </w:p>
        </w:tc>
        <w:tc>
          <w:tcPr/>
          <w:p>
            <w:pPr>
              <w:jc w:val="both"/>
              <w:pStyle w:val="Compact"/>
            </w:pPr>
            <w:r>
              <w:t xml:space="preserve">0</w:t>
            </w:r>
          </w:p>
        </w:tc>
        <w:tc>
          <w:tcPr/>
          <w:p>
            <w:pPr>
              <w:jc w:val="both"/>
              <w:pStyle w:val="Compact"/>
            </w:pPr>
            <w:r>
              <w:t xml:space="preserve">Reset alone does nothing</w:t>
            </w:r>
          </w:p>
        </w:tc>
        <w:tc>
          <w:tcPr/>
          <w:p>
            <w:pPr>
              <w:jc w:val="both"/>
              <w:pStyle w:val="Compact"/>
            </w:pPr>
            <w:r>
              <w:t xml:space="preserve">H3 rejected</w:t>
            </w:r>
          </w:p>
        </w:tc>
      </w:tr>
      <w:tr>
        <w:tc>
          <w:tcPr/>
          <w:p>
            <w:pPr>
              <w:jc w:val="both"/>
              <w:pStyle w:val="Compact"/>
            </w:pPr>
            <w:r>
              <w:t xml:space="preserve">0</w:t>
            </w:r>
          </w:p>
        </w:tc>
        <w:tc>
          <w:tcPr/>
          <w:p>
            <w:pPr>
              <w:jc w:val="both"/>
              <w:pStyle w:val="Compact"/>
            </w:pPr>
            <w:r>
              <w:t xml:space="preserve">+ (only with OSK)</w:t>
            </w:r>
          </w:p>
        </w:tc>
        <w:tc>
          <w:tcPr/>
          <w:p>
            <w:pPr>
              <w:jc w:val="both"/>
              <w:pStyle w:val="Compact"/>
            </w:pPr>
            <w:r>
              <w:t xml:space="preserve">Reset requires OSK context</w:t>
            </w:r>
          </w:p>
        </w:tc>
        <w:tc>
          <w:tcPr/>
          <w:p>
            <w:pPr>
              <w:jc w:val="both"/>
              <w:pStyle w:val="Compact"/>
            </w:pPr>
            <w:r>
              <w:t xml:space="preserve">H3 rejected as</w:t>
            </w:r>
            <w:r>
              <w:t xml:space="preserve"> </w:t>
            </w:r>
            <w:r>
              <w:t xml:space="preserve">“independent”</w:t>
            </w:r>
            <w:r>
              <w:t xml:space="preserve">; mechanism is OSK-gated</w:t>
            </w:r>
          </w:p>
        </w:tc>
      </w:tr>
    </w:tbl>
    <w:p>
      <w:pPr>
        <w:jc w:val="both"/>
        <w:pStyle w:val="BodyText"/>
      </w:pPr>
      <w:r>
        <w:rPr>
          <w:b/>
          <w:bCs/>
        </w:rPr>
        <w:t xml:space="preserve">Rule:</w:t>
      </w:r>
      <w:r>
        <w:t xml:space="preserve"> </w:t>
      </w:r>
      <w:r>
        <w:t xml:space="preserve">the interaction is interpreted</w:t>
      </w:r>
      <w:r>
        <w:t xml:space="preserve"> </w:t>
      </w:r>
      <w:r>
        <w:rPr>
          <w:b/>
          <w:bCs/>
        </w:rPr>
        <w:t xml:space="preserve">jointly with main effects</w:t>
      </w:r>
      <w:r>
        <w:t xml:space="preserve"> </w:t>
      </w:r>
      <w:r>
        <w:t xml:space="preserve">(never in isolation); the matrix is registered verbatim; deviation from the matrix requires a pre-registered amendment.</w:t>
      </w:r>
    </w:p>
    <w:p>
      <w:pPr>
        <w:pStyle w:val="Heading3"/>
      </w:pPr>
      <w:r>
        <w:t xml:space="preserve">6.2 Centriolar perturbation control (the</w:t>
      </w:r>
      <w:r>
        <w:t xml:space="preserve"> </w:t>
      </w:r>
      <w:r>
        <w:t xml:space="preserve">“not-a-reset”</w:t>
      </w:r>
      <w:r>
        <w:t xml:space="preserve"> </w:t>
      </w:r>
      <w:r>
        <w:t xml:space="preserve">arm)</w:t>
      </w:r>
    </w:p>
    <w:p>
      <w:pPr>
        <w:jc w:val="both"/>
        <w:pStyle w:val="FirstParagraph"/>
      </w:pPr>
      <w:r>
        <w:t xml:space="preserve">A fifth condition that induces maximal comparable cellular stress</w:t>
      </w:r>
      <w:r>
        <w:t xml:space="preserve"> </w:t>
      </w:r>
      <w:r>
        <w:rPr>
          <w:b/>
          <w:bCs/>
        </w:rPr>
        <w:t xml:space="preserve">without successful de novo reset</w:t>
      </w:r>
      <w:r>
        <w:t xml:space="preserve"> </w:t>
      </w:r>
      <w:r>
        <w:t xml:space="preserve">(e.g., PLK4 inhibition + recovery blocked by a biogenesis inhibitor, or abortive ablation). This discriminates:</w:t>
      </w:r>
      <w:r>
        <w:t xml:space="preserve"> </w:t>
      </w:r>
      <w:r>
        <w:rPr>
          <w:b/>
          <w:bCs/>
        </w:rPr>
        <w:t xml:space="preserve">removal → bona fide reset</w:t>
      </w:r>
      <w:r>
        <w:t xml:space="preserve"> </w:t>
      </w:r>
      <w:r>
        <w:t xml:space="preserve">from</w:t>
      </w:r>
      <w:r>
        <w:t xml:space="preserve"> </w:t>
      </w:r>
      <w:r>
        <w:rPr>
          <w:b/>
          <w:bCs/>
        </w:rPr>
        <w:t xml:space="preserve">removal → stress → survivor selection</w:t>
      </w:r>
      <w:r>
        <w:t xml:space="preserve">. Any rejuvenation seen in the perturbation arm falsifies H4.</w:t>
      </w:r>
    </w:p>
    <w:p>
      <w:pPr>
        <w:pStyle w:val="Heading3"/>
      </w:pPr>
      <w:r>
        <w:t xml:space="preserve">6.2b Targeted-degradation elimination route (v7.1, revision)</w:t>
      </w:r>
    </w:p>
    <w:p>
      <w:pPr>
        <w:jc w:val="both"/>
        <w:pStyle w:val="FirstParagraph"/>
      </w:pPr>
      <w:r>
        <w:rPr>
          <w:b/>
          <w:bCs/>
        </w:rPr>
        <w:t xml:space="preserve">Rationale:</w:t>
      </w:r>
      <w:r>
        <w:t xml:space="preserve"> </w:t>
      </w:r>
      <w:r>
        <w:t xml:space="preserve">chemical PLK4 inhibition (centrinone, aminopyrazole) acts by sustained kinase occupancy;</w:t>
      </w:r>
      <w:r>
        <w:t xml:space="preserve"> </w:t>
      </w:r>
      <w:r>
        <w:rPr>
          <w:b/>
          <w:bCs/>
        </w:rPr>
        <w:t xml:space="preserve">targeted degradation removes the protein catalytically</w:t>
      </w:r>
      <w:r>
        <w:t xml:space="preserve"> </w:t>
      </w:r>
      <w:r>
        <w:t xml:space="preserve">and is cleaner. Three validated routes exist (all confirmed via PubMed):</w:t>
      </w:r>
      <w:r>
        <w:t xml:space="preserve"> </w:t>
      </w:r>
      <w:r>
        <w:t xml:space="preserve">-</w:t>
      </w:r>
      <w:r>
        <w:t xml:space="preserve"> </w:t>
      </w:r>
      <w:r>
        <w:rPr>
          <w:b/>
          <w:bCs/>
        </w:rPr>
        <w:t xml:space="preserve">AID2 (auxin-inducible degron 2):</w:t>
      </w:r>
      <w:r>
        <w:t xml:space="preserve"> </w:t>
      </w:r>
      <w:r>
        <w:t xml:space="preserve">TIR1-based, auxin-triggered degradation; already applied to the essential centrosome protein</w:t>
      </w:r>
      <w:r>
        <w:t xml:space="preserve"> </w:t>
      </w:r>
      <w:r>
        <w:rPr>
          <w:b/>
          <w:bCs/>
        </w:rPr>
        <w:t xml:space="preserve">CEP192 in live mice</w:t>
      </w:r>
      <w:r>
        <w:t xml:space="preserve"> </w:t>
      </w:r>
      <w:r>
        <w:t xml:space="preserve">(PMID 40020058, Sci Adv 2025) — the template for</w:t>
      </w:r>
      <w:r>
        <w:t xml:space="preserve"> </w:t>
      </w:r>
      <w:r>
        <w:rPr>
          <w:b/>
          <w:bCs/>
        </w:rPr>
        <w:t xml:space="preserve">SAS-6-mAID / PLK4-mAID</w:t>
      </w:r>
      <w:r>
        <w:t xml:space="preserve"> </w:t>
      </w:r>
      <w:r>
        <w:t xml:space="preserve">degron lines (elimination by dilutive loss over ~3 divisions, as in centrinone, but without kinase-occupancy off-targets).</w:t>
      </w:r>
      <w:r>
        <w:t xml:space="preserve"> </w:t>
      </w:r>
      <w:r>
        <w:t xml:space="preserve">-</w:t>
      </w:r>
      <w:r>
        <w:t xml:space="preserve"> </w:t>
      </w:r>
      <w:r>
        <w:rPr>
          <w:b/>
          <w:bCs/>
        </w:rPr>
        <w:t xml:space="preserve">dTAG system:</w:t>
      </w:r>
      <w:r>
        <w:t xml:space="preserve"> </w:t>
      </w:r>
      <w:r>
        <w:t xml:space="preserve">FKBP12(F36V)-tagged SAS-6/PLK4 degraded by dTAG-13 (cell lines; knock-in protocol, Methods Enzymol 2023, PMID 36764753).</w:t>
      </w:r>
      <w:r>
        <w:t xml:space="preserve"> </w:t>
      </w:r>
      <w:r>
        <w:t xml:space="preserve">-</w:t>
      </w:r>
      <w:r>
        <w:t xml:space="preserve"> </w:t>
      </w:r>
      <w:r>
        <w:rPr>
          <w:b/>
          <w:bCs/>
        </w:rPr>
        <w:t xml:space="preserve">PLK4-PROTAC:</w:t>
      </w:r>
      <w:r>
        <w:t xml:space="preserve"> </w:t>
      </w:r>
      <w:r>
        <w:t xml:space="preserve">first potent, selective, in vivo efficacious PLK4 chimera (PMID 37279162, J Med Chem 2023) — direct chemical degradation of PLK4.</w:t>
      </w:r>
    </w:p>
    <w:p>
      <w:pPr>
        <w:jc w:val="both"/>
        <w:pStyle w:val="BodyText"/>
      </w:pPr>
      <w:r>
        <w:rPr>
          <w:b/>
          <w:bCs/>
        </w:rPr>
        <w:t xml:space="preserve">Decision rule (pre-registered):</w:t>
      </w:r>
      <w:r>
        <w:t xml:space="preserve"> </w:t>
      </w:r>
      <w:r>
        <w:t xml:space="preserve">Phase 1 tests</w:t>
      </w:r>
      <w:r>
        <w:t xml:space="preserve"> </w:t>
      </w:r>
      <w:r>
        <w:rPr>
          <w:b/>
          <w:bCs/>
        </w:rPr>
        <w:t xml:space="preserve">AID2-SAS-6</w:t>
      </w:r>
      <w:r>
        <w:t xml:space="preserve"> </w:t>
      </w:r>
      <w:r>
        <w:t xml:space="preserve">as primary elimination route (reversible, orthogonal to chemistry), with centrinone as the established comparator and PLK4-PROTAC as the alternative; the three routes must yield</w:t>
      </w:r>
      <w:r>
        <w:t xml:space="preserve"> </w:t>
      </w:r>
      <w:r>
        <w:rPr>
          <w:b/>
          <w:bCs/>
        </w:rPr>
        <w:t xml:space="preserve">concordant passage rates</w:t>
      </w:r>
      <w:r>
        <w:t xml:space="preserve"> </w:t>
      </w:r>
      <w:r>
        <w:t xml:space="preserve">before CRCS claims (route-concordance gate).</w:t>
      </w:r>
    </w:p>
    <w:p>
      <w:pPr>
        <w:jc w:val="both"/>
        <w:pStyle w:val="BodyText"/>
      </w:pPr>
      <w:r>
        <w:rPr>
          <w:b/>
          <w:bCs/>
        </w:rPr>
        <w:t xml:space="preserve">Dual-synchronization protocol (AID2 trap):</w:t>
      </w:r>
      <w:r>
        <w:t xml:space="preserve"> </w:t>
      </w:r>
      <w:r>
        <w:t xml:space="preserve">AID2 degradation is not instantaneous (24–48 h, dilutive at division); cells already in G2 when auxin is added would enter mitosis with partially degraded centrioles → multipolar spindles → micronuclei → cGAS–STING (exactly the v7.9 trap). CDK4/6i alone does not stop G2 cells. Therefore the elimination protocol requires</w:t>
      </w:r>
      <w:r>
        <w:t xml:space="preserve"> </w:t>
      </w:r>
      <w:r>
        <w:rPr>
          <w:b/>
          <w:bCs/>
        </w:rPr>
        <w:t xml:space="preserve">two sequential blocks</w:t>
      </w:r>
      <w:r>
        <w:t xml:space="preserve">: (1)</w:t>
      </w:r>
      <w:r>
        <w:t xml:space="preserve"> </w:t>
      </w:r>
      <w:r>
        <w:rPr>
          <w:b/>
          <w:bCs/>
        </w:rPr>
        <w:t xml:space="preserve">aphidicolin (S-phase block)</w:t>
      </w:r>
      <w:r>
        <w:t xml:space="preserve"> </w:t>
      </w:r>
      <w:r>
        <w:t xml:space="preserve">synchronizes the population; (2) after washout,</w:t>
      </w:r>
      <w:r>
        <w:t xml:space="preserve"> </w:t>
      </w:r>
      <w:r>
        <w:rPr>
          <w:b/>
          <w:bCs/>
        </w:rPr>
        <w:t xml:space="preserve">auxin + RO-3306 (CDK1i, strict G2 block) for 12 h</w:t>
      </w:r>
      <w:r>
        <w:t xml:space="preserve"> </w:t>
      </w:r>
      <w:r>
        <w:t xml:space="preserve">— all cells complete DNA replication but cannot enter mitosis until SAS-6 degradation is complete (verified by western blot, &gt;90% loss). Only then is the CDK1 block released into the cytostatic window. This converts</w:t>
      </w:r>
      <w:r>
        <w:t xml:space="preserve"> </w:t>
      </w:r>
      <w:r>
        <w:t xml:space="preserve">“eliminate while some cells are in G2”</w:t>
      </w:r>
      <w:r>
        <w:t xml:space="preserve"> </w:t>
      </w:r>
      <w:r>
        <w:t xml:space="preserve">into</w:t>
      </w:r>
      <w:r>
        <w:t xml:space="preserve"> </w:t>
      </w:r>
      <w:r>
        <w:t xml:space="preserve">“eliminate with the entire population pinned in G2.”</w:t>
      </w:r>
    </w:p>
    <w:p>
      <w:pPr>
        <w:jc w:val="both"/>
        <w:pStyle w:val="BodyText"/>
      </w:pPr>
      <w:r>
        <w:rPr>
          <w:b/>
          <w:bCs/>
        </w:rPr>
        <w:t xml:space="preserve">Resistance caveat (v7.4):</w:t>
      </w:r>
      <w:r>
        <w:t xml:space="preserve"> </w:t>
      </w:r>
      <w:r>
        <w:t xml:space="preserve">mammalian cells can develop</w:t>
      </w:r>
      <w:r>
        <w:t xml:space="preserve"> </w:t>
      </w:r>
      <w:r>
        <w:rPr>
          <w:b/>
          <w:bCs/>
        </w:rPr>
        <w:t xml:space="preserve">resistance to auxin-inducible degradation</w:t>
      </w:r>
      <w:r>
        <w:t xml:space="preserve"> </w:t>
      </w:r>
      <w:r>
        <w:t xml:space="preserve">(Hyle et al., 2026,</w:t>
      </w:r>
      <w:r>
        <w:t xml:space="preserve"> </w:t>
      </w:r>
      <w:r>
        <w:rPr>
          <w:i/>
          <w:iCs/>
        </w:rPr>
        <w:t xml:space="preserve">J Biol Chem</w:t>
      </w:r>
      <w:r>
        <w:t xml:space="preserve">, PMID 42248454 — mechanisms: degron mutation, TIR1 downregulation, pathway compensation). Therefore the route-concordance gate is not only a quality filter but a</w:t>
      </w:r>
      <w:r>
        <w:t xml:space="preserve"> </w:t>
      </w:r>
      <w:r>
        <w:rPr>
          <w:b/>
          <w:bCs/>
        </w:rPr>
        <w:t xml:space="preserve">resistance screen</w:t>
      </w:r>
      <w:r>
        <w:t xml:space="preserve">: if AID2-SAS-6 fails while chemical routes succeed, resistance — not biology — is the explanation, and the elimination route is switched (pre-registered).</w:t>
      </w:r>
    </w:p>
    <w:p>
      <w:pPr>
        <w:pStyle w:val="Heading3"/>
      </w:pPr>
      <w:r>
        <w:t xml:space="preserve">6.2c The acentriolar-mitosis trap: cytostatic window + cGAS/STING dissociation arm (v7.9)</w:t>
      </w:r>
    </w:p>
    <w:p>
      <w:pPr>
        <w:jc w:val="both"/>
        <w:pStyle w:val="FirstParagraph"/>
      </w:pPr>
      <w:r>
        <w:rPr>
          <w:b/>
          <w:bCs/>
        </w:rPr>
        <w:t xml:space="preserve">Problem (fatal-flaw candidate, accepted):</w:t>
      </w:r>
      <w:r>
        <w:t xml:space="preserve"> </w:t>
      </w:r>
      <w:r>
        <w:t xml:space="preserve">USP25/28 override prevents the primary 53BP1–USP28–p53 arrest, but a cell entering mitosis without centrioles forms an acentriolar spindle → lagging chromosomes → micronuclei →</w:t>
      </w:r>
      <w:r>
        <w:t xml:space="preserve"> </w:t>
      </w:r>
      <w:r>
        <w:rPr>
          <w:b/>
          <w:bCs/>
        </w:rPr>
        <w:t xml:space="preserve">micronucleus rupture activates cGAS–STING</w:t>
      </w:r>
      <w:r>
        <w:t xml:space="preserve"> </w:t>
      </w:r>
      <w:r>
        <w:t xml:space="preserve">(Mackenzie 2017, Nature, PMID 28738408; Dou 2017, Nature, PMID 28976970) →</w:t>
      </w:r>
      <w:r>
        <w:t xml:space="preserve"> </w:t>
      </w:r>
      <w:r>
        <w:rPr>
          <w:b/>
          <w:bCs/>
        </w:rPr>
        <w:t xml:space="preserve">secondary, USP28-independent senescence/SASP</w:t>
      </w:r>
      <w:r>
        <w:t xml:space="preserve">. A bypass that forces acentriolar mitosis is therefore insufficient — it merely trades the primary arrest for a secondary inflammatory barrier.</w:t>
      </w:r>
    </w:p>
    <w:p>
      <w:pPr>
        <w:jc w:val="both"/>
        <w:pStyle w:val="BodyText"/>
      </w:pPr>
      <w:r>
        <w:rPr>
          <w:b/>
          <w:bCs/>
        </w:rPr>
        <w:t xml:space="preserve">Solution 1 — Cytostatic window (primary):</w:t>
      </w:r>
      <w:r>
        <w:t xml:space="preserve"> </w:t>
      </w:r>
      <w:r>
        <w:t xml:space="preserve">during the elimination→rebuild window (48–72 h), an</w:t>
      </w:r>
      <w:r>
        <w:t xml:space="preserve"> </w:t>
      </w:r>
      <w:r>
        <w:rPr>
          <w:b/>
          <w:bCs/>
        </w:rPr>
        <w:t xml:space="preserve">reversible CDK1 inhibitor (RO-3306) or CDK4/6 inhibitor (palbociclib)</w:t>
      </w:r>
      <w:r>
        <w:t xml:space="preserve"> </w:t>
      </w:r>
      <w:r>
        <w:t xml:space="preserve">holds cells in G2/G1, preventing mitotic entry until exactly two functional centrioles are verified (gate E) and appendage maturation is underway. Mitosis resumes only post-verification. This converts the window from</w:t>
      </w:r>
      <w:r>
        <w:t xml:space="preserve"> </w:t>
      </w:r>
      <w:r>
        <w:t xml:space="preserve">“survive mitosis without centrioles”</w:t>
      </w:r>
      <w:r>
        <w:t xml:space="preserve"> </w:t>
      </w:r>
      <w:r>
        <w:t xml:space="preserve">to</w:t>
      </w:r>
      <w:r>
        <w:t xml:space="preserve"> </w:t>
      </w:r>
      <w:r>
        <w:t xml:space="preserve">“never enter mitosis without centrioles”</w:t>
      </w:r>
      <w:r>
        <w:t xml:space="preserve"> </w:t>
      </w:r>
      <w:r>
        <w:t xml:space="preserve">— eliminating the acentriolar-mitosis trap at its source.</w:t>
      </w:r>
    </w:p>
    <w:p>
      <w:pPr>
        <w:jc w:val="both"/>
        <w:pStyle w:val="BodyText"/>
      </w:pPr>
      <w:r>
        <w:rPr>
          <w:b/>
          <w:bCs/>
        </w:rPr>
        <w:t xml:space="preserve">Solution 2 — cGAS/STING dissociation arm (control):</w:t>
      </w:r>
      <w:r>
        <w:t xml:space="preserve"> </w:t>
      </w:r>
      <w:r>
        <w:t xml:space="preserve">a parallel CRISPR-KO of</w:t>
      </w:r>
      <w:r>
        <w:t xml:space="preserve"> </w:t>
      </w:r>
      <w:r>
        <w:rPr>
          <w:b/>
          <w:bCs/>
        </w:rPr>
        <w:t xml:space="preserve">cGAS or STING1</w:t>
      </w:r>
      <w:r>
        <w:t xml:space="preserve"> </w:t>
      </w:r>
      <w:r>
        <w:t xml:space="preserve">runs the same elimination protocol without the cytostatic block. Predictions: (a) if survival/passage rate rises sharply in cGAS/STING-KO vs. parental under identical override, the</w:t>
      </w:r>
      <w:r>
        <w:t xml:space="preserve"> </w:t>
      </w:r>
      <w:r>
        <w:rPr>
          <w:b/>
          <w:bCs/>
        </w:rPr>
        <w:t xml:space="preserve">mitotic-error stress (not organelle loss itself) is the dominant barrier</w:t>
      </w:r>
      <w:r>
        <w:t xml:space="preserve"> </w:t>
      </w:r>
      <w:r>
        <w:t xml:space="preserve">— reported as a mechanistic dissociation; (b) if KO does not rescue, cGAS-STING is not the limiting barrier and the cytostatic window is the necessary route. Either outcome is a pre-registered, interpretable result; the arm is not</w:t>
      </w:r>
      <w:r>
        <w:t xml:space="preserve"> </w:t>
      </w:r>
      <w:r>
        <w:t xml:space="preserve">“remove the safety”</w:t>
      </w:r>
      <w:r>
        <w:t xml:space="preserve"> </w:t>
      </w:r>
      <w:r>
        <w:t xml:space="preserve">but</w:t>
      </w:r>
      <w:r>
        <w:t xml:space="preserve"> </w:t>
      </w:r>
      <w:r>
        <w:t xml:space="preserve">“localize the barrier.”</w:t>
      </w:r>
    </w:p>
    <w:p>
      <w:pPr>
        <w:jc w:val="both"/>
        <w:pStyle w:val="BodyText"/>
      </w:pPr>
      <w:r>
        <w:rPr>
          <w:b/>
          <w:bCs/>
        </w:rPr>
        <w:t xml:space="preserve">Solution 3 — PIDDosome bypass arm (v8.0):</w:t>
      </w:r>
      <w:r>
        <w:t xml:space="preserve"> </w:t>
      </w:r>
      <w:r>
        <w:t xml:space="preserve">a critical assessment noted that USP28-i blocks only the 53BP1–USP28 bridge, while the</w:t>
      </w:r>
      <w:r>
        <w:t xml:space="preserve"> </w:t>
      </w:r>
      <w:r>
        <w:rPr>
          <w:b/>
          <w:bCs/>
        </w:rPr>
        <w:t xml:space="preserve">PIDDosome–p53 axis</w:t>
      </w:r>
      <w:r>
        <w:t xml:space="preserve"> </w:t>
      </w:r>
      <w:r>
        <w:t xml:space="preserve">(Fava 2017; ANKRD26–PIDD1 at distal appendages, PMID 33350495) can fire</w:t>
      </w:r>
      <w:r>
        <w:t xml:space="preserve"> </w:t>
      </w:r>
      <w:r>
        <w:rPr>
          <w:b/>
          <w:bCs/>
        </w:rPr>
        <w:t xml:space="preserve">independently</w:t>
      </w:r>
      <w:r>
        <w:t xml:space="preserve"> </w:t>
      </w:r>
      <w:r>
        <w:t xml:space="preserve">upon centrosome loss/amplification — and that the cytostatic window prevents mitosis but does not prevent G1 p53 activation via PIDD1. Therefore a</w:t>
      </w:r>
      <w:r>
        <w:t xml:space="preserve"> </w:t>
      </w:r>
      <w:r>
        <w:rPr>
          <w:b/>
          <w:bCs/>
        </w:rPr>
        <w:t xml:space="preserve">third bypass arm is added: transient PIDD1-KD or ANKRD26-KD (dCas9-KRAB, dox-inducible)</w:t>
      </w:r>
      <w:r>
        <w:t xml:space="preserve"> </w:t>
      </w:r>
      <w:r>
        <w:t xml:space="preserve">in Phase 1, running in parallel with USP28-i and the cytostatic window. Pre-registered comparison: checkpoint passage rates under (i) USP28-i alone, (ii) PIDD1-KD alone, (iii) both, (iv) both + cytostatic window. If PIDD1-KD is required (passage rate rises only when added), the PIDDosome is a dominant G1 barrier and the override strategy is PIDD1-targeted; if USP28-i alone suffices, PIDD1 is not rate-limiting in this system. Either outcome updates the override logic pre-registered — never post-hoc.</w:t>
      </w:r>
    </w:p>
    <w:p>
      <w:pPr>
        <w:jc w:val="both"/>
        <w:pStyle w:val="BodyText"/>
      </w:pPr>
      <w:r>
        <w:rPr>
          <w:b/>
          <w:bCs/>
        </w:rPr>
        <w:t xml:space="preserve">Safety note:</w:t>
      </w:r>
      <w:r>
        <w:t xml:space="preserve"> </w:t>
      </w:r>
      <w:r>
        <w:t xml:space="preserve">the cytostatic window does NOT remove the genome-integrity gate (H5) or transformation surveillance (§6.5b) — it adds a timing control that prevents the very chromosome-segregation errors those gates would otherwise detect. The three solutions together bound the v14/v15 traps: no acentriolar mitosis (window), direct barrier localization (cGAS/STING arm), and a second, USP28-independent p53 gate (PIDDosome arm).</w:t>
      </w:r>
    </w:p>
    <w:p>
      <w:pPr>
        <w:jc w:val="both"/>
        <w:pStyle w:val="BodyText"/>
      </w:pPr>
      <w:r>
        <w:rPr>
          <w:b/>
          <w:bCs/>
        </w:rPr>
        <w:t xml:space="preserve">Clarification (peer-review rebuttal, v7.1):</w:t>
      </w:r>
      <w:r>
        <w:t xml:space="preserve"> </w:t>
      </w:r>
      <w:r>
        <w:t xml:space="preserve">targeted degradation changes the</w:t>
      </w:r>
      <w:r>
        <w:t xml:space="preserve"> </w:t>
      </w:r>
      <w:r>
        <w:rPr>
          <w:b/>
          <w:bCs/>
        </w:rPr>
        <w:t xml:space="preserve">elimination route</w:t>
      </w:r>
      <w:r>
        <w:t xml:space="preserve"> </w:t>
      </w:r>
      <w:r>
        <w:t xml:space="preserve">— it does</w:t>
      </w:r>
      <w:r>
        <w:t xml:space="preserve"> </w:t>
      </w:r>
      <w:r>
        <w:rPr>
          <w:b/>
          <w:bCs/>
        </w:rPr>
        <w:t xml:space="preserve">not</w:t>
      </w:r>
      <w:r>
        <w:t xml:space="preserve"> </w:t>
      </w:r>
      <w:r>
        <w:t xml:space="preserve">remove the need for p53-override. Loss of SAS-6/PLK4 still leaves cells acentriolar → the</w:t>
      </w:r>
      <w:r>
        <w:t xml:space="preserve"> </w:t>
      </w:r>
      <w:r>
        <w:rPr>
          <w:b/>
          <w:bCs/>
        </w:rPr>
        <w:t xml:space="preserve">mitotic-surveillance p53 checkpoint still fires</w:t>
      </w:r>
      <w:r>
        <w:t xml:space="preserve"> </w:t>
      </w:r>
      <w:r>
        <w:t xml:space="preserve">(Fong 2016; Meitinger 2016). The USP25/28 override (v7.0) remains the</w:t>
      </w:r>
      <w:r>
        <w:t xml:space="preserve"> </w:t>
      </w:r>
      <w:r>
        <w:rPr>
          <w:b/>
          <w:bCs/>
        </w:rPr>
        <w:t xml:space="preserve">survival gate</w:t>
      </w:r>
      <w:r>
        <w:t xml:space="preserve">; AID2/PROTAC is the</w:t>
      </w:r>
      <w:r>
        <w:t xml:space="preserve"> </w:t>
      </w:r>
      <w:r>
        <w:rPr>
          <w:b/>
          <w:bCs/>
        </w:rPr>
        <w:t xml:space="preserve">elimination gate</w:t>
      </w:r>
      <w:r>
        <w:t xml:space="preserve">. The two are orthogonal and both mandatory.</w:t>
      </w:r>
    </w:p>
    <w:p>
      <w:pPr>
        <w:pStyle w:val="Heading3"/>
      </w:pPr>
      <w:r>
        <w:t xml:space="preserve">6.3 De novo origin — four independent proofs (A–D)</w:t>
      </w:r>
    </w:p>
    <w:tbl>
      <w:tblPr>
        <w:tblStyle w:val="Table"/>
        <w:tblW w:w="9026" w:type="dxa"/>
        <w:tblLayout w:type="fixed"/>
        <w:tblLook w:firstRow="1" w:lastRow="0" w:firstColumn="0" w:lastColumn="0" w:noHBand="0" w:noVBand="0" w:val="0020"/>
        <w:jc w:val="center"/>
      </w:tblPr>
      <w:tblGrid>
        <w:gridCol w:w="1721"/>
        <w:gridCol w:w="2754"/>
        <w:gridCol w:w="3443"/>
      </w:tblGrid>
      <w:tr>
        <w:trPr>
          <w:tblHeader w:val="on"/>
        </w:trPr>
        <w:tc>
          <w:tcPr/>
          <w:p>
            <w:pPr>
              <w:jc w:val="both"/>
              <w:pStyle w:val="Compact"/>
            </w:pPr>
            <w:r>
              <w:t xml:space="preserve">Proof</w:t>
            </w:r>
          </w:p>
        </w:tc>
        <w:tc>
          <w:tcPr/>
          <w:p>
            <w:pPr>
              <w:jc w:val="both"/>
              <w:pStyle w:val="Compact"/>
            </w:pPr>
            <w:r>
              <w:t xml:space="preserve">Method</w:t>
            </w:r>
          </w:p>
        </w:tc>
        <w:tc>
          <w:tcPr/>
          <w:p>
            <w:pPr>
              <w:jc w:val="both"/>
              <w:pStyle w:val="Compact"/>
            </w:pPr>
            <w:r>
              <w:t xml:space="preserve">Excludes</w:t>
            </w:r>
          </w:p>
        </w:tc>
      </w:tr>
      <w:tr>
        <w:tc>
          <w:tcPr/>
          <w:p>
            <w:pPr>
              <w:jc w:val="both"/>
              <w:pStyle w:val="Compact"/>
            </w:pPr>
            <w:r>
              <w:t xml:space="preserve">A. Old centrioles truly gone</w:t>
            </w:r>
          </w:p>
        </w:tc>
        <w:tc>
          <w:tcPr/>
          <w:p>
            <w:pPr>
              <w:jc w:val="both"/>
              <w:pStyle w:val="Compact"/>
            </w:pPr>
            <w:r>
              <w:t xml:space="preserve">Multi-marker IF (CETN2, CEP152, SAS-6) + serial EM + live imaging</w:t>
            </w:r>
          </w:p>
        </w:tc>
        <w:tc>
          <w:tcPr/>
          <w:p>
            <w:pPr>
              <w:jc w:val="both"/>
              <w:pStyle w:val="Compact"/>
            </w:pPr>
            <w:r>
              <w:t xml:space="preserve">Marker-specific loss</w:t>
            </w:r>
          </w:p>
        </w:tc>
      </w:tr>
      <w:tr>
        <w:tc>
          <w:tcPr/>
          <w:p>
            <w:pPr>
              <w:jc w:val="both"/>
              <w:pStyle w:val="Compact"/>
            </w:pPr>
            <w:r>
              <w:t xml:space="preserve">B. New centriole exists</w:t>
            </w:r>
          </w:p>
        </w:tc>
        <w:tc>
          <w:tcPr/>
          <w:p>
            <w:pPr>
              <w:jc w:val="both"/>
              <w:pStyle w:val="Compact"/>
            </w:pPr>
            <w:r>
              <w:t xml:space="preserve">Dendra2-Centrin1 photoconversion; SNAP-tag pulse-chase</w:t>
            </w:r>
          </w:p>
        </w:tc>
        <w:tc>
          <w:tcPr/>
          <w:p>
            <w:pPr>
              <w:jc w:val="both"/>
              <w:pStyle w:val="Compact"/>
            </w:pPr>
            <w:r>
              <w:t xml:space="preserve">Residual signal</w:t>
            </w:r>
          </w:p>
        </w:tc>
      </w:tr>
      <w:tr>
        <w:tc>
          <w:tcPr/>
          <w:p>
            <w:pPr>
              <w:jc w:val="both"/>
              <w:pStyle w:val="Compact"/>
            </w:pPr>
            <w:r>
              <w:t xml:space="preserve">C. Genuinely de novo (no template)</w:t>
            </w:r>
          </w:p>
        </w:tc>
        <w:tc>
          <w:tcPr/>
          <w:p>
            <w:pPr>
              <w:jc w:val="both"/>
              <w:pStyle w:val="Compact"/>
            </w:pPr>
            <w:r>
              <w:t xml:space="preserve">Label-free detection of new assembly; CLEM correlative</w:t>
            </w:r>
          </w:p>
        </w:tc>
        <w:tc>
          <w:tcPr/>
          <w:p>
            <w:pPr>
              <w:jc w:val="both"/>
              <w:pStyle w:val="Compact"/>
            </w:pPr>
            <w:r>
              <w:t xml:space="preserve">Regeneration from remnant</w:t>
            </w:r>
          </w:p>
        </w:tc>
      </w:tr>
      <w:tr>
        <w:tc>
          <w:tcPr/>
          <w:p>
            <w:pPr>
              <w:jc w:val="both"/>
              <w:pStyle w:val="Compact"/>
            </w:pPr>
            <w:r>
              <w:rPr>
                <w:sz w:val="18"/>
                <w:szCs w:val="18"/>
                <w:b/>
                <w:bCs/>
              </w:rPr>
              <w:t xml:space="preserve">C’. Molecular purity — SILAC (cytoplasmic-aging control)</w:t>
            </w:r>
          </w:p>
        </w:tc>
        <w:tc>
          <w:tcPr/>
          <w:p>
            <w:pPr>
              <w:jc w:val="both"/>
              <w:pStyle w:val="Compact"/>
            </w:pPr>
            <w:r>
              <w:rPr>
                <w:b/>
                <w:bCs/>
              </w:rPr>
              <w:t xml:space="preserve">SILAC pulse-chase mass spectrometry</w:t>
            </w:r>
            <w:r>
              <w:t xml:space="preserve"> </w:t>
            </w:r>
            <w:r>
              <w:t xml:space="preserve">during the de novo window: heavy-isotope labeling (Lys-8/Arg-10 or R10K8) starts at elimination; the new centriole must be assembled predominantly from</w:t>
            </w:r>
            <w:r>
              <w:t xml:space="preserve"> </w:t>
            </w:r>
            <w:r>
              <w:rPr>
                <w:b/>
                <w:bCs/>
              </w:rPr>
              <w:t xml:space="preserve">newly synthesized</w:t>
            </w:r>
            <w:r>
              <w:t xml:space="preserve"> </w:t>
            </w:r>
            <w:r>
              <w:t xml:space="preserve">tubulin/centriolar proteins (heavy-labeled), not recycled pools from the old centriole (SILAC+centrinone combination already validated: PMID 32501498)</w:t>
            </w:r>
          </w:p>
        </w:tc>
        <w:tc>
          <w:tcPr/>
          <w:p>
            <w:pPr>
              <w:jc w:val="both"/>
              <w:pStyle w:val="Compact"/>
            </w:pPr>
            <w:r>
              <w:t xml:space="preserve">“Recycled old bricks”</w:t>
            </w:r>
            <w:r>
              <w:t xml:space="preserve"> </w:t>
            </w:r>
            <w:r>
              <w:t xml:space="preserve">— a de novo centriole built from aged cytoplasmic building blocks would re-acquire old PTMs (oxidized tubulin, dysregulated TTLL5/6 polyglutamylation) and the</w:t>
            </w:r>
            <w:r>
              <w:t xml:space="preserve"> </w:t>
            </w:r>
            <w:r>
              <w:t xml:space="preserve">“reset”</w:t>
            </w:r>
            <w:r>
              <w:t xml:space="preserve"> </w:t>
            </w:r>
            <w:r>
              <w:t xml:space="preserve">would be cosmetic</w:t>
            </w:r>
          </w:p>
        </w:tc>
      </w:tr>
      <w:tr>
        <w:tc>
          <w:tcPr/>
          <w:p>
            <w:pPr>
              <w:jc w:val="both"/>
              <w:pStyle w:val="Compact"/>
            </w:pPr>
            <w:r>
              <w:t xml:space="preserve">D. Functional</w:t>
            </w:r>
          </w:p>
        </w:tc>
        <w:tc>
          <w:tcPr/>
          <w:p>
            <w:pPr>
              <w:jc w:val="both"/>
              <w:pStyle w:val="Compact"/>
            </w:pPr>
            <w:r>
              <w:t xml:space="preserve">Ultrastructure (cryo-ET), molecular composition (MS), spindle function, ciliogenesis, faithful duplication</w:t>
            </w:r>
          </w:p>
        </w:tc>
        <w:tc>
          <w:tcPr/>
          <w:p>
            <w:pPr>
              <w:jc w:val="both"/>
              <w:pStyle w:val="Compact"/>
            </w:pPr>
            <w:r>
              <w:t xml:space="preserve">“Repair,”</w:t>
            </w:r>
            <w:r>
              <w:t xml:space="preserve"> </w:t>
            </w:r>
            <w:r>
              <w:t xml:space="preserve">not reset</w:t>
            </w:r>
          </w:p>
        </w:tc>
      </w:tr>
      <w:tr>
        <w:tc>
          <w:tcPr/>
          <w:p>
            <w:pPr>
              <w:jc w:val="both"/>
              <w:pStyle w:val="Compact"/>
            </w:pPr>
            <w:r>
              <w:rPr>
                <w:b/>
                <w:bCs/>
              </w:rPr>
              <w:t xml:space="preserve">D’’. Geometry — cryo-ET subtomogram (v7.7)</w:t>
            </w:r>
          </w:p>
        </w:tc>
        <w:tc>
          <w:tcPr/>
          <w:p>
            <w:pPr>
              <w:jc w:val="both"/>
              <w:pStyle w:val="Compact"/>
            </w:pPr>
            <w:r>
              <w:t xml:space="preserve">Subtomogram-averaged cryo-ET: triplet A–C tubule angles, cartwheel integrity, dense-ring presence, over-elongation rate (n = 20–30 cells/condition, per §13); the de novo centriole must match</w:t>
            </w:r>
            <w:r>
              <w:t xml:space="preserve"> </w:t>
            </w:r>
            <w:r>
              <w:rPr>
                <w:b/>
                <w:bCs/>
              </w:rPr>
              <w:t xml:space="preserve">embryonic/young reference geometry</w:t>
            </w:r>
            <w:r>
              <w:t xml:space="preserve">, not aged templated geometry — this is the direct, quantitative test of H_programmed</w:t>
            </w:r>
          </w:p>
        </w:tc>
        <w:tc>
          <w:tcPr/>
          <w:p>
            <w:pPr>
              <w:jc w:val="both"/>
              <w:pStyle w:val="Compact"/>
            </w:pPr>
            <w:r>
              <w:t xml:space="preserve">Geometry is passive vs. programmed: if de novo geometry is indistinguishable from aged templated, the</w:t>
            </w:r>
            <w:r>
              <w:t xml:space="preserve"> </w:t>
            </w:r>
            <w:r>
              <w:t xml:space="preserve">“programmed geometry”</w:t>
            </w:r>
            <w:r>
              <w:t xml:space="preserve"> </w:t>
            </w:r>
            <w:r>
              <w:t xml:space="preserve">claim is weakened (pre-registered in §4.3)</w:t>
            </w:r>
          </w:p>
        </w:tc>
      </w:tr>
      <w:tr>
        <w:tc>
          <w:tcPr/>
          <w:p>
            <w:pPr>
              <w:jc w:val="both"/>
              <w:pStyle w:val="Compact"/>
            </w:pPr>
            <w:r>
              <w:rPr>
                <w:b/>
                <w:bCs/>
              </w:rPr>
              <w:t xml:space="preserve">D’. Maturation — appendages &amp; ciliogenesis (v7.7)</w:t>
            </w:r>
          </w:p>
        </w:tc>
        <w:tc>
          <w:tcPr/>
          <w:p>
            <w:pPr>
              <w:jc w:val="both"/>
              <w:pStyle w:val="Compact"/>
            </w:pPr>
            <w:r>
              <w:t xml:space="preserve">De novo centrioles lack distal/subdistal appendages for several cell cycles (maturation: CEP295/Ana1 — Pimenta-Marques 2024, EMBO Rep, PMID 38200359; distal centriolar protein network — Wang 2018, Nat Commun, PMID 30258116); without subdistal appendages the centriole cannot anchor MTs or template a primary cilium.</w:t>
            </w:r>
            <w:r>
              <w:t xml:space="preserve"> </w:t>
            </w:r>
            <w:r>
              <w:rPr>
                <w:b/>
                <w:bCs/>
              </w:rPr>
              <w:t xml:space="preserve">Proof D’ adds:</w:t>
            </w:r>
            <w:r>
              <w:t xml:space="preserve"> </w:t>
            </w:r>
            <w:r>
              <w:t xml:space="preserve">time-course of appendage acquisition (ODF2, Ninein, CEP295 IF + ultrastructure), first-cilium latency (ciliogenesis endpoint), and the criterion that a</w:t>
            </w:r>
            <w:r>
              <w:t xml:space="preserve"> </w:t>
            </w:r>
            <w:r>
              <w:t xml:space="preserve">“functional young”</w:t>
            </w:r>
            <w:r>
              <w:t xml:space="preserve"> </w:t>
            </w:r>
            <w:r>
              <w:t xml:space="preserve">centriole must be</w:t>
            </w:r>
            <w:r>
              <w:t xml:space="preserve"> </w:t>
            </w:r>
            <w:r>
              <w:rPr>
                <w:b/>
                <w:bCs/>
              </w:rPr>
              <w:t xml:space="preserve">both new AND mature</w:t>
            </w:r>
            <w:r>
              <w:t xml:space="preserve"> </w:t>
            </w:r>
            <w:r>
              <w:t xml:space="preserve">(appendages + ciliogenesis within a pre-registered window, e.g., ≤5 passages)</w:t>
            </w:r>
          </w:p>
        </w:tc>
        <w:tc>
          <w:tcPr/>
          <w:p>
            <w:pPr>
              <w:jc w:val="both"/>
              <w:pStyle w:val="Compact"/>
            </w:pPr>
            <w:r>
              <w:t xml:space="preserve">A</w:t>
            </w:r>
            <w:r>
              <w:t xml:space="preserve"> </w:t>
            </w:r>
            <w:r>
              <w:t xml:space="preserve">“young”</w:t>
            </w:r>
            <w:r>
              <w:t xml:space="preserve"> </w:t>
            </w:r>
            <w:r>
              <w:t xml:space="preserve">but immature centriole is functionally blind to niche signals — H3/H8 readouts would be confounded by maturation delay, not reset</w:t>
            </w:r>
          </w:p>
        </w:tc>
      </w:tr>
      <w:tr>
        <w:tc>
          <w:tcPr/>
          <w:p>
            <w:pPr>
              <w:jc w:val="both"/>
              <w:pStyle w:val="Compact"/>
            </w:pPr>
            <w:r>
              <w:rPr>
                <w:b/>
                <w:bCs/>
              </w:rPr>
              <w:t xml:space="preserve">D’’’. Maturation boost (</w:t>
            </w:r>
            <w:r>
              <w:rPr>
                <w:b/>
                <w:bCs/>
              </w:rPr>
              <w:t xml:space="preserve">“Killer 2.0”</w:t>
            </w:r>
            <w:r>
              <w:rPr>
                <w:b/>
                <w:bCs/>
              </w:rPr>
              <w:t xml:space="preserve">)</w:t>
            </w:r>
          </w:p>
        </w:tc>
        <w:tc>
          <w:tcPr/>
          <w:p>
            <w:pPr>
              <w:jc w:val="both"/>
              <w:pStyle w:val="Compact"/>
            </w:pPr>
            <w:r>
              <w:t xml:space="preserve">Optional</w:t>
            </w:r>
            <w:r>
              <w:t xml:space="preserve"> </w:t>
            </w:r>
            <w:r>
              <w:rPr>
                <w:b/>
                <w:bCs/>
              </w:rPr>
              <w:t xml:space="preserve">inducible CEP295/Ana1 expression</w:t>
            </w:r>
            <w:r>
              <w:t xml:space="preserve"> </w:t>
            </w:r>
            <w:r>
              <w:t xml:space="preserve">during the de novo window to accelerate appendage acquisition (CEP295 is the essential maturation factor — Pimenta-Marques 2024): predicts compression of first-cilium latency from ~5 cycles toward 1–2 cycles; time-course scRNA-seq + scATAC-seq tracks whether transient cilia absence perturbs the epigenetic landscape (TET/PRC2) and whether it recovers on maturation.</w:t>
            </w:r>
            <w:r>
              <w:t xml:space="preserve"> </w:t>
            </w:r>
            <w:r>
              <w:rPr>
                <w:b/>
                <w:bCs/>
              </w:rPr>
              <w:t xml:space="preserve">v7.9 addition : the cilia-deprivation stress signature is explicitly tracked</w:t>
            </w:r>
            <w:r>
              <w:t xml:space="preserve"> </w:t>
            </w:r>
            <w:r>
              <w:t xml:space="preserve">— a pre-registered gene-set (Hedgehog/Wnt target genes, stress-response module: ATF4/DDIT3, NRF2, IL-6/IL-8) is scored in the scRNA/scATAC time-course, so any CRCS improvement is demonstrably not a rebound artifact of transient signaling starvation (rebound-effect control)</w:t>
            </w:r>
          </w:p>
        </w:tc>
        <w:tc>
          <w:tcPr/>
          <w:p>
            <w:pPr>
              <w:jc w:val="both"/>
              <w:pStyle w:val="Compact"/>
            </w:pPr>
            <w:r>
              <w:t xml:space="preserve">Maturation-lag stress (loss of Hedgehog/Wnt signaling for 3–5 cycles) could drive Horvath-clock</w:t>
            </w:r>
            <w:r>
              <w:t xml:space="preserve"> </w:t>
            </w:r>
            <w:r>
              <w:t xml:space="preserve">“aging”</w:t>
            </w:r>
            <w:r>
              <w:t xml:space="preserve"> </w:t>
            </w:r>
            <w:r>
              <w:t xml:space="preserve">artifacts — the boost tests whether this confounds H2</w:t>
            </w:r>
          </w:p>
        </w:tc>
      </w:tr>
      <w:tr>
        <w:tc>
          <w:tcPr/>
          <w:p>
            <w:pPr>
              <w:jc w:val="both"/>
              <w:pStyle w:val="Compact"/>
            </w:pPr>
            <w:r>
              <w:rPr>
                <w:b/>
                <w:bCs/>
              </w:rPr>
              <w:t xml:space="preserve">E. Number control (critical assessment)</w:t>
            </w:r>
          </w:p>
        </w:tc>
        <w:tc>
          <w:tcPr/>
          <w:p>
            <w:pPr>
              <w:jc w:val="both"/>
              <w:pStyle w:val="Compact"/>
            </w:pPr>
            <w:r>
              <w:rPr>
                <w:b/>
                <w:bCs/>
              </w:rPr>
              <w:t xml:space="preserve">Exactly 2</w:t>
            </w:r>
            <w:r>
              <w:t xml:space="preserve"> </w:t>
            </w:r>
            <w:r>
              <w:t xml:space="preserve">centrioles/cell, functionally normal, across</w:t>
            </w:r>
            <w:r>
              <w:t xml:space="preserve"> </w:t>
            </w:r>
            <w:r>
              <w:rPr>
                <w:b/>
                <w:bCs/>
              </w:rPr>
              <w:t xml:space="preserve">N ≥ 20 independent clones</w:t>
            </w:r>
            <w:r>
              <w:t xml:space="preserve"> </w:t>
            </w:r>
            <w:r>
              <w:t xml:space="preserve">(quantitative readout, not just</w:t>
            </w:r>
            <w:r>
              <w:t xml:space="preserve"> </w:t>
            </w:r>
            <w:r>
              <w:t xml:space="preserve">“de novo exists”</w:t>
            </w:r>
            <w:r>
              <w:t xml:space="preserve">)</w:t>
            </w:r>
          </w:p>
        </w:tc>
        <w:tc>
          <w:tcPr/>
          <w:p>
            <w:pPr>
              <w:jc w:val="both"/>
              <w:pStyle w:val="Compact"/>
            </w:pPr>
            <w:r>
              <w:t xml:space="preserve">Aneuploidy / multi-centrosome contamination of downstream hallmarks (all 4 prototypes had uncontrolled numbers — this gate closes the systemic gap)</w:t>
            </w:r>
          </w:p>
        </w:tc>
      </w:tr>
      <w:tr>
        <w:tc>
          <w:tcPr/>
          <w:p>
            <w:pPr>
              <w:jc w:val="both"/>
              <w:pStyle w:val="Compact"/>
            </w:pPr>
            <w:r>
              <w:rPr>
                <w:b/>
                <w:bCs/>
              </w:rPr>
              <w:t xml:space="preserve">E’. Structural gate — STED for all clones (v8.3)</w:t>
            </w:r>
          </w:p>
        </w:tc>
        <w:tc>
          <w:tcPr/>
          <w:p>
            <w:pPr>
              <w:jc w:val="both"/>
              <w:pStyle w:val="Compact"/>
            </w:pPr>
            <w:r>
              <w:t xml:space="preserve">De novo assembly is error-prone even at correct number (Wang 2015, eLife 4:e10586: abnormal structures without SAS-6 self-assembly).</w:t>
            </w:r>
            <w:r>
              <w:t xml:space="preserve"> </w:t>
            </w:r>
            <w:r>
              <w:rPr>
                <w:b/>
                <w:bCs/>
              </w:rPr>
              <w:t xml:space="preserve">Super-resolution (STED) verification of 9-fold symmetry (SAS-6, CEP135) and distal appendages (CEP164, ODF2) for ALL surviving clones</w:t>
            </w:r>
            <w:r>
              <w:t xml:space="preserve">, not a 20–30-cell subset — automated image analysis (pre-registered classifier, blinded); only structurally verified clones enter CRCS</w:t>
            </w:r>
          </w:p>
        </w:tc>
        <w:tc>
          <w:tcPr/>
          <w:p>
            <w:pPr>
              <w:jc w:val="both"/>
              <w:pStyle w:val="Compact"/>
            </w:pPr>
            <w:r>
              <w:t xml:space="preserve">A</w:t>
            </w:r>
            <w:r>
              <w:t xml:space="preserve"> </w:t>
            </w:r>
            <w:r>
              <w:t xml:space="preserve">“correct-number but structurally defective”</w:t>
            </w:r>
            <w:r>
              <w:t xml:space="preserve"> </w:t>
            </w:r>
            <w:r>
              <w:t xml:space="preserve">centriole (missing cartwheel, abnormal triplets) would cause merotelic attachments and latent CIN — the number gate alone cannot exclude this</w:t>
            </w:r>
          </w:p>
        </w:tc>
      </w:tr>
      <w:tr>
        <w:tc>
          <w:tcPr/>
          <w:p>
            <w:pPr>
              <w:jc w:val="both"/>
              <w:pStyle w:val="Compact"/>
            </w:pPr>
            <w:r>
              <w:rPr>
                <w:b/>
                <w:bCs/>
              </w:rPr>
              <w:t xml:space="preserve">E’’. First-mitoses live monitoring (v8.3)</w:t>
            </w:r>
          </w:p>
        </w:tc>
        <w:tc>
          <w:tcPr/>
          <w:p>
            <w:pPr>
              <w:jc w:val="both"/>
              <w:pStyle w:val="Compact"/>
            </w:pPr>
            <w:r>
              <w:t xml:space="preserve">The first 3 mitoses after release from the cytostatic window are tracked live (</w:t>
            </w:r>
            <w:r>
              <w:rPr>
                <w:b/>
                <w:bCs/>
              </w:rPr>
              <w:t xml:space="preserve">SiR-DNA + Centrin1-GFP</w:t>
            </w:r>
            <w:r>
              <w:t xml:space="preserve">): direct micronucleus count, lagging-chromosome frequency, multipolar-spindle check; any clone exceeding pre-registered thresholds (e.g., ≥2 micronuclei in first 3 divisions) is excluded and reported</w:t>
            </w:r>
          </w:p>
        </w:tc>
        <w:tc>
          <w:tcPr/>
          <w:p>
            <w:pPr>
              <w:jc w:val="both"/>
              <w:pStyle w:val="Compact"/>
            </w:pPr>
            <w:r>
              <w:t xml:space="preserve">Silent CIN that only cGAS–STING would reveal later — direct visualization replaces delayed genomic detection</w:t>
            </w:r>
          </w:p>
        </w:tc>
      </w:tr>
    </w:tbl>
    <w:p>
      <w:pPr>
        <w:jc w:val="both"/>
        <w:pStyle w:val="BodyText"/>
      </w:pPr>
      <w:r>
        <w:rPr>
          <w:b/>
          <w:bCs/>
        </w:rPr>
        <w:t xml:space="preserve">Cytoplasmic-environment control — the building-block source (v7.5):</w:t>
      </w:r>
      <w:r>
        <w:t xml:space="preserve"> </w:t>
      </w:r>
      <w:r>
        <w:t xml:space="preserve">a cytoplasmic-aging concern (a de novo centriole assembled in old cytoplasm from oxidized tubulin / dysregulated TTLL5/6 may instantly re-acquire</w:t>
      </w:r>
      <w:r>
        <w:t xml:space="preserve"> </w:t>
      </w:r>
      <w:r>
        <w:t xml:space="preserve">“old”</w:t>
      </w:r>
      <w:r>
        <w:t xml:space="preserve"> </w:t>
      </w:r>
      <w:r>
        <w:t xml:space="preserve">PTMs) is addressed three ways: (1)</w:t>
      </w:r>
      <w:r>
        <w:t xml:space="preserve"> </w:t>
      </w:r>
      <w:r>
        <w:rPr>
          <w:b/>
          <w:bCs/>
        </w:rPr>
        <w:t xml:space="preserve">SILAC Proof C’</w:t>
      </w:r>
      <w:r>
        <w:t xml:space="preserve"> </w:t>
      </w:r>
      <w:r>
        <w:t xml:space="preserve">above proves the assembled structure uses newly synthesized protein (heavy-labeled), not recycled old bricks; (2)</w:t>
      </w:r>
      <w:r>
        <w:t xml:space="preserve"> </w:t>
      </w:r>
      <w:r>
        <w:rPr>
          <w:b/>
          <w:bCs/>
        </w:rPr>
        <w:t xml:space="preserve">post-assembly PTM audit</w:t>
      </w:r>
      <w:r>
        <w:t xml:space="preserve"> </w:t>
      </w:r>
      <w:r>
        <w:t xml:space="preserve">— polyglutamylation profile (GT335), Δ2-tubulin, and oxidation markers (carbonyl assay) measured on the rebuilt centriole and compared with young/aged reference centrioles (criterion: rebuilt ≤ young reference on all PTM readouts); (3)</w:t>
      </w:r>
      <w:r>
        <w:t xml:space="preserve"> </w:t>
      </w:r>
      <w:r>
        <w:rPr>
          <w:b/>
          <w:bCs/>
        </w:rPr>
        <w:t xml:space="preserve">window-conditioning</w:t>
      </w:r>
      <w:r>
        <w:t xml:space="preserve"> </w:t>
      </w:r>
      <w:r>
        <w:t xml:space="preserve">— the elimination-to-rebuild window is run in fresh medium with proteostasis support (proteasome boost, antioxidant N-acetylcysteine), minimizing de novo incorporation of oxidized subunits. If SILAC shows heavy-fraction &lt; 80%, the reset claim is not admissible (pre-registered threshold).</w:t>
      </w:r>
    </w:p>
    <w:p>
      <w:pPr>
        <w:jc w:val="both"/>
        <w:pStyle w:val="BodyText"/>
      </w:pPr>
      <w:r>
        <w:rPr>
          <w:b/>
          <w:bCs/>
        </w:rPr>
        <w:t xml:space="preserve">Cytoplasmic PTM-reset module (v7.8):</w:t>
      </w:r>
      <w:r>
        <w:t xml:space="preserve"> </w:t>
      </w:r>
      <w:r>
        <w:t xml:space="preserve">to guarantee</w:t>
      </w:r>
      <w:r>
        <w:t xml:space="preserve"> </w:t>
      </w:r>
      <w:r>
        <w:t xml:space="preserve">“clean software”</w:t>
      </w:r>
      <w:r>
        <w:t xml:space="preserve"> </w:t>
      </w:r>
      <w:r>
        <w:t xml:space="preserve">(not only clean hardware), the de novo window additionally includes</w:t>
      </w:r>
      <w:r>
        <w:t xml:space="preserve"> </w:t>
      </w:r>
      <w:r>
        <w:rPr>
          <w:b/>
          <w:bCs/>
        </w:rPr>
        <w:t xml:space="preserve">genetic modulation of the PTM enzyme balance</w:t>
      </w:r>
      <w:r>
        <w:t xml:space="preserve">: transient</w:t>
      </w:r>
      <w:r>
        <w:t xml:space="preserve"> </w:t>
      </w:r>
      <w:r>
        <w:rPr>
          <w:b/>
          <w:bCs/>
        </w:rPr>
        <w:t xml:space="preserve">CCP5/CCP6 overexpression</w:t>
      </w:r>
      <w:r>
        <w:t xml:space="preserve"> </w:t>
      </w:r>
      <w:r>
        <w:t xml:space="preserve">(deglutamylases that trim polyGlu chains) and/or</w:t>
      </w:r>
      <w:r>
        <w:t xml:space="preserve"> </w:t>
      </w:r>
      <w:r>
        <w:rPr>
          <w:b/>
          <w:bCs/>
        </w:rPr>
        <w:t xml:space="preserve">CRISPRi against TTLL5/6</w:t>
      </w:r>
      <w:r>
        <w:t xml:space="preserve"> </w:t>
      </w:r>
      <w:r>
        <w:t xml:space="preserve">during the elimination-to-rebuild window — resetting the cytoplasmic polyglutamylation potential so the new centriole assembles with a near-zero polyGlu baseline. No selective small-molecule TTLL/CCP inhibitors exist yet (literature verified, 2026-08-11: tubulin-code reviews J Biomed Sci 2026, PMID 42083040; Cancer Metastasis Rev 2026, PMID 42257920) — the genetic route is the available tool. Readout: GT335 intensity on the rebuilt centriole must be ≤ young reference; if the PTM-reset module is required to pass this, that is a reported design result (the reset becomes a two-part intervention: organelle + cytoplasmic PTM environment).</w:t>
      </w:r>
    </w:p>
    <w:p>
      <w:pPr>
        <w:jc w:val="both"/>
        <w:pStyle w:val="BodyText"/>
      </w:pPr>
      <w:r>
        <w:rPr>
          <w:b/>
          <w:bCs/>
        </w:rPr>
        <w:t xml:space="preserve">Cytosolic clearance expansion (v7.9):</w:t>
      </w:r>
      <w:r>
        <w:t xml:space="preserve"> </w:t>
      </w:r>
      <w:r>
        <w:t xml:space="preserve">to address the</w:t>
      </w:r>
      <w:r>
        <w:t xml:space="preserve"> </w:t>
      </w:r>
      <w:r>
        <w:t xml:space="preserve">“old cytosol”</w:t>
      </w:r>
      <w:r>
        <w:t xml:space="preserve"> </w:t>
      </w:r>
      <w:r>
        <w:t xml:space="preserve">(oxidized tubulin pool, aged modifying enzymes) beyond enzyme rebalancing, the window additionally includes</w:t>
      </w:r>
      <w:r>
        <w:t xml:space="preserve"> </w:t>
      </w:r>
      <w:r>
        <w:rPr>
          <w:b/>
          <w:bCs/>
        </w:rPr>
        <w:t xml:space="preserve">targeted clearance of oxidized proteins</w:t>
      </w:r>
      <w:r>
        <w:t xml:space="preserve">: transient</w:t>
      </w:r>
      <w:r>
        <w:t xml:space="preserve"> </w:t>
      </w:r>
      <w:r>
        <w:rPr>
          <w:b/>
          <w:bCs/>
        </w:rPr>
        <w:t xml:space="preserve">Nrf2 activation (TBHQ)</w:t>
      </w:r>
      <w:r>
        <w:t xml:space="preserve">,</w:t>
      </w:r>
      <w:r>
        <w:t xml:space="preserve"> </w:t>
      </w:r>
      <w:r>
        <w:rPr>
          <w:b/>
          <w:bCs/>
        </w:rPr>
        <w:t xml:space="preserve">proteasome boost</w:t>
      </w:r>
      <w:r>
        <w:t xml:space="preserve">, and — if compatible with the window timing —</w:t>
      </w:r>
      <w:r>
        <w:t xml:space="preserve"> </w:t>
      </w:r>
      <w:r>
        <w:rPr>
          <w:b/>
          <w:bCs/>
        </w:rPr>
        <w:t xml:space="preserve">mTORC1 inhibition (autophagy induction)</w:t>
      </w:r>
      <w:r>
        <w:t xml:space="preserve"> </w:t>
      </w:r>
      <w:r>
        <w:t xml:space="preserve">to remove oxidized/damaged cytosolic subunits before de novo assembly. Readout: carbonyl assay and oxidized-tubulin fraction must be ≤ young reference at rebuild start; these interventions are pre-registered window components, not post-hoc fixes.</w:t>
      </w:r>
    </w:p>
    <w:p>
      <w:pPr>
        <w:jc w:val="both"/>
        <w:pStyle w:val="BodyText"/>
      </w:pPr>
      <w:r>
        <w:rPr>
          <w:b/>
          <w:bCs/>
        </w:rPr>
        <w:t xml:space="preserve">Cytoplasmic epigenetic audit (</w:t>
      </w:r>
      <w:r>
        <w:rPr>
          <w:b/>
          <w:bCs/>
        </w:rPr>
        <w:t xml:space="preserve">“epigenetic shadow”</w:t>
      </w:r>
      <w:r>
        <w:rPr>
          <w:b/>
          <w:bCs/>
        </w:rPr>
        <w:t xml:space="preserve">):</w:t>
      </w:r>
      <w:r>
        <w:t xml:space="preserve"> </w:t>
      </w:r>
      <w:r>
        <w:t xml:space="preserve">to prove that OSK does not indirectly</w:t>
      </w:r>
      <w:r>
        <w:t xml:space="preserve"> </w:t>
      </w:r>
      <w:r>
        <w:t xml:space="preserve">“rejuvenate”</w:t>
      </w:r>
      <w:r>
        <w:t xml:space="preserve"> </w:t>
      </w:r>
      <w:r>
        <w:t xml:space="preserve">the de novo centriole through cytoplasmic enzymes,</w:t>
      </w:r>
      <w:r>
        <w:t xml:space="preserve"> </w:t>
      </w:r>
      <w:r>
        <w:rPr>
          <w:b/>
          <w:bCs/>
        </w:rPr>
        <w:t xml:space="preserve">quantitative mass spectrometry of the free-tubulin pool and TTLL/CCP enzyme levels is run in ALL arms (A, B, C, D) at the 48–72 h rebuild window</w:t>
      </w:r>
      <w:r>
        <w:t xml:space="preserve">: if arm D (OSK+Reset) shows young-like tubulin/PTM-enzyme composition BEFORE the centriole assembles, the OSK-cytoplasmic confounder is real and quantified (H3 qualified); if the tubulin/PTM-enzyme composition is comparable across arms at assembly time, the de novo centriole is assembled in a comparable biochemical environment and the reset effect is attributable to the organelle exchange. This audit — together with the temporal-dissociation arm F (§6.1) and the cytoplasmic inheritance test (§12) — completes the OSK-shadow control: two orthogonal timing controls plus one direct cytoplasmic measurement.</w:t>
      </w:r>
    </w:p>
    <w:p>
      <w:pPr>
        <w:pStyle w:val="Heading3"/>
      </w:pPr>
      <w:r>
        <w:t xml:space="preserve">6.4 Safety as co-primary mechanistic gate</w:t>
      </w:r>
    </w:p>
    <w:p>
      <w:pPr>
        <w:jc w:val="both"/>
        <w:pStyle w:val="BlockText"/>
      </w:pPr>
      <w:r>
        <w:rPr>
          <w:b/>
          <w:bCs/>
        </w:rPr>
        <w:t xml:space="preserve">No rejuvenation claim is admissible unless chromosome segregation, ploidy, and centrosome-number homeostasis remain normal.</w:t>
      </w:r>
    </w:p>
    <w:p>
      <w:pPr>
        <w:pStyle w:val="Heading3"/>
      </w:pPr>
      <w:r>
        <w:t xml:space="preserve">6.4b Centrosome-loss checkpoint and survivor selection — the biggest biological threat to interpretation</w:t>
      </w:r>
    </w:p>
    <w:p>
      <w:pPr>
        <w:jc w:val="both"/>
        <w:pStyle w:val="FirstParagraph"/>
      </w:pPr>
      <w:r>
        <w:t xml:space="preserve">Two mechanisms can mimic or mask a reset effect and must be quantified, not just controlled:</w:t>
      </w:r>
      <w:r>
        <w:t xml:space="preserve"> </w:t>
      </w:r>
      <w:r>
        <w:t xml:space="preserve">1.</w:t>
      </w:r>
      <w:r>
        <w:t xml:space="preserve"> </w:t>
      </w:r>
      <w:r>
        <w:rPr>
          <w:b/>
          <w:bCs/>
        </w:rPr>
        <w:t xml:space="preserve">Centrosome-loss checkpoint:</w:t>
      </w:r>
      <w:r>
        <w:t xml:space="preserve"> </w:t>
      </w:r>
      <w:r>
        <w:t xml:space="preserve">loss of the centrosome triggers p53/PIDDosome arrest (Wong 2015; Mikule 2007). If most cells arrest, the few that proceed are</w:t>
      </w:r>
      <w:r>
        <w:t xml:space="preserve"> </w:t>
      </w:r>
      <w:r>
        <w:rPr>
          <w:b/>
          <w:bCs/>
        </w:rPr>
        <w:t xml:space="preserve">not representative</w:t>
      </w:r>
      <w:r>
        <w:t xml:space="preserve"> </w:t>
      </w:r>
      <w:r>
        <w:t xml:space="preserve">— the reset effect (if any) is measured on a selected subpopulation.</w:t>
      </w:r>
      <w:r>
        <w:t xml:space="preserve"> </w:t>
      </w:r>
      <w:r>
        <w:t xml:space="preserve">2.</w:t>
      </w:r>
      <w:r>
        <w:t xml:space="preserve"> </w:t>
      </w:r>
      <w:r>
        <w:rPr>
          <w:b/>
          <w:bCs/>
        </w:rPr>
        <w:t xml:space="preserve">Survivor selection:</w:t>
      </w:r>
      <w:r>
        <w:t xml:space="preserve"> </w:t>
      </w:r>
      <w:r>
        <w:t xml:space="preserve">cells that survive elimination + recovery may be the</w:t>
      </w:r>
      <w:r>
        <w:t xml:space="preserve"> </w:t>
      </w:r>
      <w:r>
        <w:rPr>
          <w:i/>
          <w:iCs/>
        </w:rPr>
        <w:t xml:space="preserve">youngest/least damaged</w:t>
      </w:r>
      <w:r>
        <w:t xml:space="preserve"> </w:t>
      </w:r>
      <w:r>
        <w:t xml:space="preserve">fraction — apparent</w:t>
      </w:r>
      <w:r>
        <w:t xml:space="preserve"> </w:t>
      </w:r>
      <w:r>
        <w:t xml:space="preserve">“rejuvenation”</w:t>
      </w:r>
      <w:r>
        <w:t xml:space="preserve"> </w:t>
      </w:r>
      <w:r>
        <w:t xml:space="preserve">could be</w:t>
      </w:r>
      <w:r>
        <w:t xml:space="preserve"> </w:t>
      </w:r>
      <w:r>
        <w:rPr>
          <w:b/>
          <w:bCs/>
        </w:rPr>
        <w:t xml:space="preserve">selection, not reset</w:t>
      </w:r>
      <w:r>
        <w:t xml:space="preserve">.</w:t>
      </w:r>
    </w:p>
    <w:p>
      <w:pPr>
        <w:jc w:val="both"/>
        <w:pStyle w:val="BodyText"/>
      </w:pPr>
      <w:r>
        <w:rPr>
          <w:b/>
          <w:bCs/>
        </w:rPr>
        <w:t xml:space="preserve">Accounting (pre-specified):</w:t>
      </w:r>
      <w:r>
        <w:t xml:space="preserve"> </w:t>
      </w:r>
      <w:r>
        <w:t xml:space="preserve">(a) report</w:t>
      </w:r>
      <w:r>
        <w:t xml:space="preserve"> </w:t>
      </w:r>
      <w:r>
        <w:rPr>
          <w:b/>
          <w:bCs/>
        </w:rPr>
        <w:t xml:space="preserve">checkpoint passage rate</w:t>
      </w:r>
      <w:r>
        <w:t xml:space="preserve"> </w:t>
      </w:r>
      <w:r>
        <w:t xml:space="preserve">(% cells completing elimination→recovery) per condition; (b) compare</w:t>
      </w:r>
      <w:r>
        <w:t xml:space="preserve"> </w:t>
      </w:r>
      <w:r>
        <w:rPr>
          <w:b/>
          <w:bCs/>
        </w:rPr>
        <w:t xml:space="preserve">pre-elimination markers</w:t>
      </w:r>
      <w:r>
        <w:t xml:space="preserve"> </w:t>
      </w:r>
      <w:r>
        <w:t xml:space="preserve">(damage load, cell size, passage history) of survivors vs. non-survivors — if survivors are systematically younger, results are qualified as selection-biased; (c) the</w:t>
      </w:r>
      <w:r>
        <w:t xml:space="preserve"> </w:t>
      </w:r>
      <w:r>
        <w:rPr>
          <w:b/>
          <w:bCs/>
        </w:rPr>
        <w:t xml:space="preserve">perturbation control arm (§6.2)</w:t>
      </w:r>
      <w:r>
        <w:t xml:space="preserve"> </w:t>
      </w:r>
      <w:r>
        <w:t xml:space="preserve">and</w:t>
      </w:r>
      <w:r>
        <w:t xml:space="preserve"> </w:t>
      </w:r>
      <w:r>
        <w:rPr>
          <w:b/>
          <w:bCs/>
        </w:rPr>
        <w:t xml:space="preserve">arm E (p53-suppression-only)</w:t>
      </w:r>
      <w:r>
        <w:t xml:space="preserve"> </w:t>
      </w:r>
      <w:r>
        <w:t xml:space="preserve">jointly isolate the reset contribution; (d)</w:t>
      </w:r>
      <w:r>
        <w:t xml:space="preserve"> </w:t>
      </w:r>
      <w:r>
        <w:rPr>
          <w:b/>
          <w:bCs/>
        </w:rPr>
        <w:t xml:space="preserve">lineage tracing / single-cell live tracking</w:t>
      </w:r>
      <w:r>
        <w:t xml:space="preserve"> </w:t>
      </w:r>
      <w:r>
        <w:t xml:space="preserve">( specification):</w:t>
      </w:r>
      <w:r>
        <w:t xml:space="preserve"> </w:t>
      </w:r>
      <w:r>
        <w:rPr>
          <w:b/>
          <w:bCs/>
        </w:rPr>
        <w:t xml:space="preserve">Centrin1-GFP</w:t>
      </w:r>
      <w:r>
        <w:t xml:space="preserve"> </w:t>
      </w:r>
      <w:r>
        <w:t xml:space="preserve">(centriole age &amp; fate — mother vs. daughter, de novo vs. templated) +</w:t>
      </w:r>
      <w:r>
        <w:t xml:space="preserve"> </w:t>
      </w:r>
      <w:r>
        <w:rPr>
          <w:b/>
          <w:bCs/>
        </w:rPr>
        <w:t xml:space="preserve">p16-mCherry</w:t>
      </w:r>
      <w:r>
        <w:t xml:space="preserve"> </w:t>
      </w:r>
      <w:r>
        <w:t xml:space="preserve">(senescence onset) dual-reporter live imaging, tracking the</w:t>
      </w:r>
      <w:r>
        <w:t xml:space="preserve"> </w:t>
      </w:r>
      <w:r>
        <w:rPr>
          <w:b/>
          <w:bCs/>
        </w:rPr>
        <w:t xml:space="preserve">same cell</w:t>
      </w:r>
      <w:r>
        <w:t xml:space="preserve"> </w:t>
      </w:r>
      <w:r>
        <w:t xml:space="preserve">through elimination → de novo rebuild → serial passages, proving the</w:t>
      </w:r>
      <w:r>
        <w:t xml:space="preserve"> </w:t>
      </w:r>
      <w:r>
        <w:rPr>
          <w:i/>
          <w:iCs/>
        </w:rPr>
        <w:t xml:space="preserve">identical cell</w:t>
      </w:r>
      <w:r>
        <w:t xml:space="preserve"> </w:t>
      </w:r>
      <w:r>
        <w:t xml:space="preserve">improved (not a younger subclone taking over). These four measures convert the checkpoint/selection threat from a confounder into a reported, bounded quantity.</w:t>
      </w:r>
    </w:p>
    <w:p>
      <w:pPr>
        <w:pStyle w:val="Heading3"/>
      </w:pPr>
      <w:r>
        <w:t xml:space="preserve">6.5 Genome-integrity gate (stronger than diploidy)</w:t>
      </w:r>
    </w:p>
    <w:tbl>
      <w:tblPr>
        <w:tblStyle w:val="Table"/>
        <w:tblW w:w="9026" w:type="dxa"/>
        <w:tblLook w:firstRow="1" w:lastRow="0" w:firstColumn="0" w:lastColumn="0" w:noHBand="0" w:noVBand="0" w:val="0020"/>
        <w:jc w:val="center"/>
      </w:tblPr>
      <w:tblGrid>
        <w:gridCol w:w="3960"/>
        <w:gridCol w:w="3960"/>
      </w:tblGrid>
      <w:tr>
        <w:trPr>
          <w:tblHeader w:val="on"/>
        </w:trPr>
        <w:tc>
          <w:tcPr/>
          <w:p>
            <w:pPr>
              <w:jc w:val="both"/>
              <w:pStyle w:val="Compact"/>
            </w:pPr>
            <w:r>
              <w:t xml:space="preserve">Layer</w:t>
            </w:r>
          </w:p>
        </w:tc>
        <w:tc>
          <w:tcPr/>
          <w:p>
            <w:pPr>
              <w:jc w:val="both"/>
              <w:pStyle w:val="Compact"/>
            </w:pPr>
            <w:r>
              <w:t xml:space="preserve">Readout</w:t>
            </w:r>
          </w:p>
        </w:tc>
      </w:tr>
      <w:tr>
        <w:tc>
          <w:tcPr/>
          <w:p>
            <w:pPr>
              <w:jc w:val="both"/>
              <w:pStyle w:val="Compact"/>
            </w:pPr>
            <w:r>
              <w:t xml:space="preserve">Ploidy</w:t>
            </w:r>
          </w:p>
        </w:tc>
        <w:tc>
          <w:tcPr/>
          <w:p>
            <w:pPr>
              <w:jc w:val="both"/>
              <w:pStyle w:val="Compact"/>
            </w:pPr>
            <w:r>
              <w:t xml:space="preserve">Karyotype, FISH</w:t>
            </w:r>
          </w:p>
        </w:tc>
      </w:tr>
      <w:tr>
        <w:tc>
          <w:tcPr/>
          <w:p>
            <w:pPr>
              <w:jc w:val="both"/>
              <w:pStyle w:val="Compact"/>
            </w:pPr>
            <w:r>
              <w:t xml:space="preserve">Aneuploidy</w:t>
            </w:r>
          </w:p>
        </w:tc>
        <w:tc>
          <w:tcPr/>
          <w:p>
            <w:pPr>
              <w:jc w:val="both"/>
              <w:pStyle w:val="Compact"/>
            </w:pPr>
            <w:r>
              <w:t xml:space="preserve">scDNA-seq copy number</w:t>
            </w:r>
          </w:p>
        </w:tc>
      </w:tr>
      <w:tr>
        <w:tc>
          <w:tcPr/>
          <w:p>
            <w:pPr>
              <w:jc w:val="both"/>
              <w:pStyle w:val="Compact"/>
            </w:pPr>
            <w:r>
              <w:t xml:space="preserve">Structural damage</w:t>
            </w:r>
          </w:p>
        </w:tc>
        <w:tc>
          <w:tcPr/>
          <w:p>
            <w:pPr>
              <w:jc w:val="both"/>
              <w:pStyle w:val="Compact"/>
            </w:pPr>
            <w:r>
              <w:t xml:space="preserve">Micronuclei, translocations, rearrangements</w:t>
            </w:r>
          </w:p>
        </w:tc>
      </w:tr>
      <w:tr>
        <w:tc>
          <w:tcPr/>
          <w:p>
            <w:pPr>
              <w:jc w:val="both"/>
              <w:pStyle w:val="Compact"/>
            </w:pPr>
            <w:r>
              <w:t xml:space="preserve">Mutation burden</w:t>
            </w:r>
          </w:p>
        </w:tc>
        <w:tc>
          <w:tcPr/>
          <w:p>
            <w:pPr>
              <w:jc w:val="both"/>
              <w:pStyle w:val="Compact"/>
            </w:pPr>
            <w:r>
              <w:t xml:space="preserve">WGS SNVs/indels</w:t>
            </w:r>
          </w:p>
        </w:tc>
      </w:tr>
      <w:tr>
        <w:tc>
          <w:tcPr/>
          <w:p>
            <w:pPr>
              <w:jc w:val="both"/>
              <w:pStyle w:val="Compact"/>
            </w:pPr>
            <w:r>
              <w:t xml:space="preserve">Replication stress</w:t>
            </w:r>
          </w:p>
        </w:tc>
        <w:tc>
          <w:tcPr/>
          <w:p>
            <w:pPr>
              <w:jc w:val="both"/>
              <w:pStyle w:val="Compact"/>
            </w:pPr>
            <w:r>
              <w:t xml:space="preserve">γH2AX, 53BP1, RPA foci</w:t>
            </w:r>
          </w:p>
        </w:tc>
      </w:tr>
    </w:tbl>
    <w:p>
      <w:pPr>
        <w:jc w:val="both"/>
        <w:pStyle w:val="BodyText"/>
      </w:pPr>
      <w:r>
        <w:rPr>
          <w:b/>
          <w:bCs/>
        </w:rPr>
        <w:t xml:space="preserve">Invariant wording (per independent verification):</w:t>
      </w:r>
      <w:r>
        <w:t xml:space="preserve"> </w:t>
      </w:r>
      <w:r>
        <w:t xml:space="preserve">the program proceeds</w:t>
      </w:r>
      <w:r>
        <w:t xml:space="preserve"> </w:t>
      </w:r>
      <w:r>
        <w:rPr>
          <w:b/>
          <w:bCs/>
        </w:rPr>
        <w:t xml:space="preserve">without meiotic chromosome reduction or meiotic recombination</w:t>
      </w:r>
      <w:r>
        <w:t xml:space="preserve">, while</w:t>
      </w:r>
      <w:r>
        <w:t xml:space="preserve"> </w:t>
      </w:r>
      <w:r>
        <w:rPr>
          <w:b/>
          <w:bCs/>
        </w:rPr>
        <w:t xml:space="preserve">retaining normal somatic DNA-repair capacity</w:t>
      </w:r>
      <w:r>
        <w:t xml:space="preserve">.</w:t>
      </w:r>
    </w:p>
    <w:p>
      <w:pPr>
        <w:pStyle w:val="Heading3"/>
      </w:pPr>
      <w:r>
        <w:t xml:space="preserve">6.5b Transformation surveillance (cancer-risk response)</w:t>
      </w:r>
    </w:p>
    <w:p>
      <w:pPr>
        <w:jc w:val="both"/>
        <w:pStyle w:val="FirstParagraph"/>
      </w:pPr>
      <w:r>
        <w:rPr>
          <w:b/>
          <w:bCs/>
        </w:rPr>
        <w:t xml:space="preserve">Question addressed:</w:t>
      </w:r>
      <w:r>
        <w:t xml:space="preserve"> </w:t>
      </w:r>
      <w:r>
        <w:t xml:space="preserve">could the transient USP25/28 override + acentriolar window push cells toward neoplastic transformation? The design answers this with five independent, pre-registered checks — any one failing disqualifies the clone and, if ≥5% of replicates, triggers the safety futility stop (§8):</w:t>
      </w:r>
    </w:p>
    <w:tbl>
      <w:tblPr>
        <w:tblStyle w:val="Table"/>
        <w:tblW w:w="9026" w:type="dxa"/>
        <w:tblLayout w:type="fixed"/>
        <w:tblLook w:firstRow="1" w:lastRow="0" w:firstColumn="0" w:lastColumn="0" w:noHBand="0" w:noVBand="0" w:val="0020"/>
        <w:jc w:val="center"/>
      </w:tblPr>
      <w:tblGrid>
        <w:gridCol w:w="1179"/>
        <w:gridCol w:w="1179"/>
        <w:gridCol w:w="4044"/>
        <w:gridCol w:w="1516"/>
      </w:tblGrid>
      <w:tr>
        <w:trPr>
          <w:tblHeader w:val="on"/>
        </w:trPr>
        <w:tc>
          <w:tcPr/>
          <w:p>
            <w:pPr>
              <w:jc w:val="both"/>
              <w:pStyle w:val="Compact"/>
            </w:pPr>
            <w:r>
              <w:t xml:space="preserve">Layer</w:t>
            </w:r>
          </w:p>
        </w:tc>
        <w:tc>
          <w:tcPr/>
          <w:p>
            <w:pPr>
              <w:jc w:val="both"/>
              <w:pStyle w:val="Compact"/>
            </w:pPr>
            <w:r>
              <w:t xml:space="preserve">Assay</w:t>
            </w:r>
          </w:p>
        </w:tc>
        <w:tc>
          <w:tcPr/>
          <w:p>
            <w:pPr>
              <w:jc w:val="both"/>
              <w:pStyle w:val="Compact"/>
            </w:pPr>
            <w:r>
              <w:t xml:space="preserve">Pre-specified criterion</w:t>
            </w:r>
          </w:p>
        </w:tc>
        <w:tc>
          <w:tcPr/>
          <w:p>
            <w:pPr>
              <w:jc w:val="both"/>
              <w:pStyle w:val="Compact"/>
            </w:pPr>
            <w:r>
              <w:t xml:space="preserve">Catches</w:t>
            </w:r>
          </w:p>
        </w:tc>
      </w:tr>
      <w:tr>
        <w:tc>
          <w:tcPr/>
          <w:p>
            <w:pPr>
              <w:jc w:val="both"/>
              <w:pStyle w:val="Compact"/>
            </w:pPr>
            <w:r>
              <w:t xml:space="preserve">1. p53 re-competence (H6’)</w:t>
            </w:r>
          </w:p>
        </w:tc>
        <w:tc>
          <w:tcPr/>
          <w:p>
            <w:pPr>
              <w:jc w:val="both"/>
              <w:pStyle w:val="Compact"/>
            </w:pPr>
            <w:r>
              <w:t xml:space="preserve">Etoposide challenge → γH2AX/p21 induction after window</w:t>
            </w:r>
          </w:p>
        </w:tc>
        <w:tc>
          <w:tcPr/>
          <w:p>
            <w:pPr>
              <w:jc w:val="both"/>
              <w:pStyle w:val="Compact"/>
            </w:pPr>
            <w:r>
              <w:t xml:space="preserve">p53 response restored in ≥90% of surviving clones</w:t>
            </w:r>
          </w:p>
        </w:tc>
        <w:tc>
          <w:tcPr/>
          <w:p>
            <w:pPr>
              <w:jc w:val="both"/>
              <w:pStyle w:val="Compact"/>
            </w:pPr>
            <w:r>
              <w:t xml:space="preserve">Cells that lost p53 function during the window (the Wong 2015 / Mikule 2007 cancer-like state)</w:t>
            </w:r>
          </w:p>
        </w:tc>
      </w:tr>
      <w:tr>
        <w:tc>
          <w:tcPr/>
          <w:p>
            <w:pPr>
              <w:jc w:val="both"/>
              <w:pStyle w:val="Compact"/>
            </w:pPr>
            <w:r>
              <w:t xml:space="preserve">2. Karyotype/ploidy</w:t>
            </w:r>
          </w:p>
        </w:tc>
        <w:tc>
          <w:tcPr/>
          <w:p>
            <w:pPr>
              <w:jc w:val="both"/>
              <w:pStyle w:val="Compact"/>
            </w:pPr>
            <w:r>
              <w:t xml:space="preserve">Metaphase spreads, FISH (centromeric probes)</w:t>
            </w:r>
          </w:p>
        </w:tc>
        <w:tc>
          <w:tcPr/>
          <w:p>
            <w:pPr>
              <w:jc w:val="both"/>
              <w:pStyle w:val="Compact"/>
            </w:pPr>
            <w:r>
              <w:t xml:space="preserve">Diploid, no structural rearrangements in ≥95% of spreads</w:t>
            </w:r>
          </w:p>
        </w:tc>
        <w:tc>
          <w:tcPr/>
          <w:p>
            <w:pPr>
              <w:jc w:val="both"/>
              <w:pStyle w:val="Compact"/>
            </w:pPr>
            <w:r>
              <w:t xml:space="preserve">Aneuploidy, translocations acquired during the window</w:t>
            </w:r>
          </w:p>
        </w:tc>
      </w:tr>
      <w:tr>
        <w:tc>
          <w:tcPr/>
          <w:p>
            <w:pPr>
              <w:jc w:val="both"/>
              <w:pStyle w:val="Compact"/>
            </w:pPr>
            <w:r>
              <w:t xml:space="preserve">3. Immortalization screen</w:t>
            </w:r>
          </w:p>
        </w:tc>
        <w:tc>
          <w:tcPr/>
          <w:p>
            <w:pPr>
              <w:jc w:val="both"/>
              <w:pStyle w:val="Compact"/>
            </w:pPr>
            <w:r>
              <w:t xml:space="preserve">Serial passaging beyond Hayflick limit with no hTERT introduced</w:t>
            </w:r>
          </w:p>
        </w:tc>
        <w:tc>
          <w:tcPr/>
          <w:p>
            <w:pPr>
              <w:jc w:val="both"/>
              <w:pStyle w:val="Compact"/>
            </w:pPr>
            <w:r>
              <w:t xml:space="preserve">No growth past expected senescence horizon (fibroblasts: no spontaneous immortalization)</w:t>
            </w:r>
          </w:p>
        </w:tc>
        <w:tc>
          <w:tcPr/>
          <w:p>
            <w:pPr>
              <w:jc w:val="both"/>
              <w:pStyle w:val="Compact"/>
            </w:pPr>
            <w:r>
              <w:t xml:space="preserve">Cells that acquired replicative immortality — the hallmark of transformation in vitro</w:t>
            </w:r>
          </w:p>
        </w:tc>
      </w:tr>
      <w:tr>
        <w:tc>
          <w:tcPr/>
          <w:p>
            <w:pPr>
              <w:jc w:val="both"/>
              <w:pStyle w:val="Compact"/>
            </w:pPr>
            <w:r>
              <w:t xml:space="preserve">4. Anchorage-independent growth</w:t>
            </w:r>
          </w:p>
        </w:tc>
        <w:tc>
          <w:tcPr/>
          <w:p>
            <w:pPr>
              <w:jc w:val="both"/>
              <w:pStyle w:val="Compact"/>
            </w:pPr>
            <w:r>
              <w:t xml:space="preserve">Soft-agar colony assay (Phase 2, n=3 donors × arms)</w:t>
            </w:r>
          </w:p>
        </w:tc>
        <w:tc>
          <w:tcPr/>
          <w:p>
            <w:pPr>
              <w:jc w:val="both"/>
              <w:pStyle w:val="Compact"/>
            </w:pPr>
            <w:r>
              <w:t xml:space="preserve">Zero colonies above background (normal fibroblasts are anchorage-dependent)</w:t>
            </w:r>
          </w:p>
        </w:tc>
        <w:tc>
          <w:tcPr/>
          <w:p>
            <w:pPr>
              <w:jc w:val="both"/>
              <w:pStyle w:val="Compact"/>
            </w:pPr>
            <w:r>
              <w:t xml:space="preserve">Classic in vitro transformation phenotype</w:t>
            </w:r>
          </w:p>
        </w:tc>
      </w:tr>
      <w:tr>
        <w:tc>
          <w:tcPr/>
          <w:p>
            <w:pPr>
              <w:jc w:val="both"/>
              <w:pStyle w:val="Compact"/>
            </w:pPr>
            <w:r>
              <w:t xml:space="preserve">5. Clonal dynamics</w:t>
            </w:r>
          </w:p>
        </w:tc>
        <w:tc>
          <w:tcPr/>
          <w:p>
            <w:pPr>
              <w:jc w:val="both"/>
              <w:pStyle w:val="Compact"/>
            </w:pPr>
            <w:r>
              <w:t xml:space="preserve">Lineage tracing (Centrin1-GFP + p16-mCherry, §6.4b) + proliferation kinetics</w:t>
            </w:r>
          </w:p>
        </w:tc>
        <w:tc>
          <w:tcPr/>
          <w:p>
            <w:pPr>
              <w:jc w:val="both"/>
              <w:pStyle w:val="Compact"/>
            </w:pPr>
            <w:r>
              <w:t xml:space="preserve">No outgrowth of a single clone &gt;10% of population without reset phenotype</w:t>
            </w:r>
          </w:p>
        </w:tc>
        <w:tc>
          <w:tcPr/>
          <w:p>
            <w:pPr>
              <w:jc w:val="both"/>
              <w:pStyle w:val="Compact"/>
            </w:pPr>
            <w:r>
              <w:t xml:space="preserve">Subclone takeover mimicking a transformation event</w:t>
            </w:r>
          </w:p>
        </w:tc>
      </w:tr>
    </w:tbl>
    <w:p>
      <w:pPr>
        <w:jc w:val="both"/>
        <w:pStyle w:val="BodyText"/>
      </w:pPr>
      <w:r>
        <w:rPr>
          <w:b/>
          <w:bCs/>
        </w:rPr>
        <w:t xml:space="preserve">Escalation option (pre-registered):</w:t>
      </w:r>
      <w:r>
        <w:t xml:space="preserve"> </w:t>
      </w:r>
      <w:r>
        <w:t xml:space="preserve">if layers 3–4 flag any clone, that clone is excluded from CRCS analysis and — only if the flag rate ≥5% per arm — the safety futility stop fires (§8) and the arm is not interpretable. If the flag rate is &lt;5%, results are reported with the flagged clones excluded and a transparent note on the residual risk.</w:t>
      </w:r>
    </w:p>
    <w:p>
      <w:pPr>
        <w:jc w:val="both"/>
        <w:pStyle w:val="BodyText"/>
      </w:pPr>
      <w:r>
        <w:rPr>
          <w:b/>
          <w:bCs/>
        </w:rPr>
        <w:t xml:space="preserve">v7.4 addition:</w:t>
      </w:r>
      <w:r>
        <w:t xml:space="preserve"> </w:t>
      </w:r>
      <w:r>
        <w:t xml:space="preserve">polyploid giant cancer cells (PGCC) and centrosome amplification via CDT1 (Pan et al., 2026,</w:t>
      </w:r>
      <w:r>
        <w:t xml:space="preserve"> </w:t>
      </w:r>
      <w:r>
        <w:rPr>
          <w:i/>
          <w:iCs/>
        </w:rPr>
        <w:t xml:space="preserve">Cancer Letters</w:t>
      </w:r>
      <w:r>
        <w:t xml:space="preserve">, PMID 41319860) added to the transformation readout panel — PGCC formation is an early, easily-scored transformation phenotype (layer 6, optional): nuclei ≥4N with giant morphology are counted in the immortalization screen (layer 3) as an additional flag.</w:t>
      </w:r>
    </w:p>
    <w:p>
      <w:pPr>
        <w:jc w:val="both"/>
        <w:pStyle w:val="BodyText"/>
      </w:pPr>
      <w:r>
        <w:rPr>
          <w:b/>
          <w:bCs/>
        </w:rPr>
        <w:t xml:space="preserve">Transformation vs. rejuvenation dissociation (critical assessment):</w:t>
      </w:r>
      <w:r>
        <w:t xml:space="preserve"> </w:t>
      </w:r>
      <w:r>
        <w:t xml:space="preserve">a reset clone that passes layers 1–2 but shows elevated proliferation (better EdU) is scored as</w:t>
      </w:r>
      <w:r>
        <w:t xml:space="preserve"> </w:t>
      </w:r>
      <w:r>
        <w:rPr>
          <w:b/>
          <w:bCs/>
        </w:rPr>
        <w:t xml:space="preserve">younger, not transformed</w:t>
      </w:r>
      <w:r>
        <w:t xml:space="preserve"> </w:t>
      </w:r>
      <w:r>
        <w:t xml:space="preserve">— because it retains contact inhibition (layer 4, zero soft-agar colonies), a functional p53 (layer 1), and a normal karyotype (layer 2). The trio (p53-competence + diploidy + anchorage-dependence) is the accepted in vitro definition of non-transformed; CRCS claims are only admissible for clones passing all five layers.</w:t>
      </w:r>
    </w:p>
    <w:p>
      <w:pPr>
        <w:jc w:val="both"/>
        <w:pStyle w:val="BodyText"/>
      </w:pPr>
      <w:r>
        <w:rPr>
          <w:b/>
          <w:bCs/>
        </w:rPr>
        <w:t xml:space="preserve">Biological rationale (literature, verified):</w:t>
      </w:r>
      <w:r>
        <w:t xml:space="preserve"> </w:t>
      </w:r>
      <w:r>
        <w:t xml:space="preserve">the cancer-like state described in Wong 2015 (proliferation after centriole loss) and Mikule 2007 (aneuploidy accumulation) both require</w:t>
      </w:r>
      <w:r>
        <w:t xml:space="preserve"> </w:t>
      </w:r>
      <w:r>
        <w:rPr>
          <w:b/>
          <w:bCs/>
        </w:rPr>
        <w:t xml:space="preserve">sustained</w:t>
      </w:r>
      <w:r>
        <w:t xml:space="preserve"> </w:t>
      </w:r>
      <w:r>
        <w:t xml:space="preserve">p53 deficiency; our window is transient and USP28-specific, and layer 1 verifies that p53 function returns. Transient USP25/28 inhibition is therefore not equivalent to oncogenesis — but the five-layer screen is retained because the residual risk is non-zero and must be bounded, not assumed away.</w:t>
      </w:r>
    </w:p>
    <w:p>
      <w:pPr>
        <w:jc w:val="both"/>
        <w:pStyle w:val="BodyText"/>
      </w:pPr>
      <w:r>
        <w:rPr>
          <w:b/>
          <w:bCs/>
        </w:rPr>
        <w:t xml:space="preserve">Aneuploidy-rate rebuttal (v7.3):</w:t>
      </w:r>
      <w:r>
        <w:t xml:space="preserve"> </w:t>
      </w:r>
      <w:r>
        <w:t xml:space="preserve">a claim that de novo assembly produces 40–60% aneuploidy — making the 5% gate</w:t>
      </w:r>
      <w:r>
        <w:t xml:space="preserve"> </w:t>
      </w:r>
      <w:r>
        <w:t xml:space="preserve">“naive”</w:t>
      </w:r>
      <w:r>
        <w:t xml:space="preserve"> </w:t>
      </w:r>
      <w:r>
        <w:t xml:space="preserve">— has</w:t>
      </w:r>
      <w:r>
        <w:t xml:space="preserve"> </w:t>
      </w:r>
      <w:r>
        <w:rPr>
          <w:b/>
          <w:bCs/>
        </w:rPr>
        <w:t xml:space="preserve">no supporting citation in the review and no primary-source basis in the elimination literature</w:t>
      </w:r>
      <w:r>
        <w:t xml:space="preserve"> </w:t>
      </w:r>
      <w:r>
        <w:t xml:space="preserve">(Khodjakov 2002, La Terra 2005, Uetake 2007, Wong 2015 report arrest/inefficiency, not aneuploidy rates). The gate is not a population aneuploidy claim: it is a</w:t>
      </w:r>
      <w:r>
        <w:t xml:space="preserve"> </w:t>
      </w:r>
      <w:r>
        <w:rPr>
          <w:b/>
          <w:bCs/>
        </w:rPr>
        <w:t xml:space="preserve">per-clone admissibility criterion</w:t>
      </w:r>
      <w:r>
        <w:t xml:space="preserve"> </w:t>
      </w:r>
      <w:r>
        <w:t xml:space="preserve">on the cells actually analyzed (karyotype + scDNA-seq, §6.5). The measured aneuploidy rate is a</w:t>
      </w:r>
      <w:r>
        <w:t xml:space="preserve"> </w:t>
      </w:r>
      <w:r>
        <w:rPr>
          <w:b/>
          <w:bCs/>
        </w:rPr>
        <w:t xml:space="preserve">reported quantity</w:t>
      </w:r>
      <w:r>
        <w:t xml:space="preserve"> </w:t>
      </w:r>
      <w:r>
        <w:t xml:space="preserve">— if it is high, passage rates and clone yields are correspondingly low and Phase 1 is correctly judged infeasible at the §13 gate; if it is low, the gate holds. The protocol does not assume an aneuploidy rate; it measures it, pre-registers it as a reportable outcome, and treats it as a feasibility criterion, not an opinion.</w:t>
      </w:r>
    </w:p>
    <w:p>
      <w:pPr>
        <w:jc w:val="both"/>
        <w:pStyle w:val="BodyText"/>
      </w:pPr>
      <w:r>
        <w:rPr>
          <w:b/>
          <w:bCs/>
        </w:rPr>
        <w:t xml:space="preserve">v7.7 meta-analysis response :</w:t>
      </w:r>
      <w:r>
        <w:t xml:space="preserve"> </w:t>
      </w:r>
      <w:r>
        <w:t xml:space="preserve">an independent quantitative meta-analysis (88% irreversible arrest; &lt;12% de novo recovery; 4.2±1.1 cycles to maturation; 28% aneuploidy) is</w:t>
      </w:r>
      <w:r>
        <w:t xml:space="preserve"> </w:t>
      </w:r>
      <w:r>
        <w:rPr>
          <w:b/>
          <w:bCs/>
        </w:rPr>
        <w:t xml:space="preserve">not reproducible from the cited sources</w:t>
      </w:r>
      <w:r>
        <w:t xml:space="preserve"> </w:t>
      </w:r>
      <w:r>
        <w:t xml:space="preserve">— the two key citations (Werner 2022; Fu 2016) are not found in PubMed/Europe PMC, and no extraction table or forest plot is provided. The protocol therefore treats these figures as</w:t>
      </w:r>
      <w:r>
        <w:t xml:space="preserve"> </w:t>
      </w:r>
      <w:r>
        <w:rPr>
          <w:b/>
          <w:bCs/>
        </w:rPr>
        <w:t xml:space="preserve">unverifiable prior claims</w:t>
      </w:r>
      <w:r>
        <w:t xml:space="preserve">, not as facts: (a) arrest/recovery/maturation rates are pre-registered</w:t>
      </w:r>
      <w:r>
        <w:t xml:space="preserve"> </w:t>
      </w:r>
      <w:r>
        <w:rPr>
          <w:b/>
          <w:bCs/>
        </w:rPr>
        <w:t xml:space="preserve">measured endpoints</w:t>
      </w:r>
      <w:r>
        <w:t xml:space="preserve"> </w:t>
      </w:r>
      <w:r>
        <w:t xml:space="preserve">of Phase 1 (checkpoint passage rate §6.4b; maturation latency Proof D’ §6.3); (b) the maturation-latency concept itself is accepted as a design constraint (several cycles to appendage acquisition — supported by verified literature: CEP295/Ana1, Pimenta-Marques 2024; distal protein network, Wang 2018) and is now explicitly scheduled into the timeline (Proof D’); (c) the polyglutamylation-of-cytoplasm concern is partially verified — glutamylation recruits MT-nucleation factors (Hong 2025, EMBO J, PMID 40229407) — strengthening the PTM-audit and cytoplasmic-inheritance-test requirements (§6.3 C’, §12); (d) aneuploidy remains a measured, pre-registered quantity (§6.5). If Phase 1 measures rates near the unverified estimates, the program honestly stops at the §13 gate — that is the design’s purpose.</w:t>
      </w:r>
    </w:p>
    <w:p>
      <w:pPr>
        <w:pStyle w:val="Heading2"/>
      </w:pPr>
      <w:r>
        <w:t xml:space="preserve">7. Endpoint Architecture (hierarchical)</w:t>
      </w:r>
    </w:p>
    <w:tbl>
      <w:tblPr>
        <w:tblStyle w:val="Table"/>
        <w:tblW w:w="9026" w:type="dxa"/>
        <w:tblLayout w:type="fixed"/>
        <w:tblLook w:firstRow="1" w:lastRow="0" w:firstColumn="0" w:lastColumn="0" w:noHBand="0" w:noVBand="0" w:val="0020"/>
        <w:jc w:val="center"/>
      </w:tblPr>
      <w:tblGrid>
        <w:gridCol w:w="2160"/>
        <w:gridCol w:w="3600"/>
        <w:gridCol w:w="2160"/>
      </w:tblGrid>
      <w:tr>
        <w:trPr>
          <w:tblHeader w:val="on"/>
        </w:trPr>
        <w:tc>
          <w:tcPr/>
          <w:p>
            <w:pPr>
              <w:jc w:val="both"/>
              <w:pStyle w:val="Compact"/>
            </w:pPr>
            <w:r>
              <w:t xml:space="preserve">Tier</w:t>
            </w:r>
          </w:p>
        </w:tc>
        <w:tc>
          <w:tcPr/>
          <w:p>
            <w:pPr>
              <w:jc w:val="both"/>
              <w:pStyle w:val="Compact"/>
            </w:pPr>
            <w:r>
              <w:t xml:space="preserve">Endpoint</w:t>
            </w:r>
          </w:p>
        </w:tc>
        <w:tc>
          <w:tcPr/>
          <w:p>
            <w:pPr>
              <w:jc w:val="both"/>
              <w:pStyle w:val="Compact"/>
            </w:pPr>
            <w:r>
              <w:t xml:space="preserve">Role</w:t>
            </w:r>
          </w:p>
        </w:tc>
      </w:tr>
      <w:tr>
        <w:tc>
          <w:tcPr/>
          <w:p>
            <w:pPr>
              <w:jc w:val="both"/>
              <w:pStyle w:val="Compact"/>
            </w:pPr>
            <w:r>
              <w:rPr>
                <w:sz w:val="18"/>
                <w:szCs w:val="18"/>
                <w:b/>
                <w:bCs/>
              </w:rPr>
              <w:t xml:space="preserve">Primary</w:t>
            </w:r>
          </w:p>
        </w:tc>
        <w:tc>
          <w:tcPr/>
          <w:p>
            <w:pPr>
              <w:jc w:val="both"/>
              <w:pStyle w:val="Compact"/>
            </w:pPr>
            <w:r>
              <w:rPr>
                <w:b/>
                <w:bCs/>
              </w:rPr>
              <w:t xml:space="preserve">CRCS</w:t>
            </w:r>
            <w:r>
              <w:t xml:space="preserve"> </w:t>
            </w:r>
            <w:r>
              <w:t xml:space="preserve">— Cellular Rejuvenation Composite Score (see §7.1 for pre-registered formula)</w:t>
            </w:r>
          </w:p>
        </w:tc>
        <w:tc>
          <w:tcPr/>
          <w:p>
            <w:pPr>
              <w:jc w:val="both"/>
              <w:pStyle w:val="Compact"/>
            </w:pPr>
            <w:r>
              <w:t xml:space="preserve">Confirms/refutes the main hypothesis</w:t>
            </w:r>
          </w:p>
        </w:tc>
      </w:tr>
      <w:tr>
        <w:tc>
          <w:tcPr/>
          <w:p>
            <w:pPr>
              <w:jc w:val="both"/>
              <w:pStyle w:val="Compact"/>
            </w:pPr>
            <w:r>
              <w:rPr>
                <w:b/>
                <w:bCs/>
              </w:rPr>
              <w:t xml:space="preserve">Secondary</w:t>
            </w:r>
          </w:p>
        </w:tc>
        <w:tc>
          <w:tcPr/>
          <w:p>
            <w:pPr>
              <w:jc w:val="both"/>
              <w:pStyle w:val="Compact"/>
            </w:pPr>
            <w:r>
              <w:t xml:space="preserve">12 hallmark domains (López-Otín), 7 mechanistic: epigenome, genome stability, proteostasis, mitochondria, autophagy, senescence, stem-cell function; 5 contextual</w:t>
            </w:r>
          </w:p>
        </w:tc>
        <w:tc>
          <w:tcPr/>
          <w:p>
            <w:pPr>
              <w:jc w:val="both"/>
              <w:pStyle w:val="Compact"/>
            </w:pPr>
            <w:r>
              <w:t xml:space="preserve">Mechanistic explanation</w:t>
            </w:r>
          </w:p>
        </w:tc>
      </w:tr>
      <w:tr>
        <w:tc>
          <w:tcPr/>
          <w:p>
            <w:pPr>
              <w:jc w:val="both"/>
              <w:pStyle w:val="Compact"/>
            </w:pPr>
            <w:r>
              <w:rPr>
                <w:b/>
                <w:bCs/>
              </w:rPr>
              <w:t xml:space="preserve">Exploratory</w:t>
            </w:r>
          </w:p>
        </w:tc>
        <w:tc>
          <w:tcPr/>
          <w:p>
            <w:pPr>
              <w:jc w:val="both"/>
              <w:pStyle w:val="Compact"/>
            </w:pPr>
            <w:r>
              <w:t xml:space="preserve">All omics (scRNA-seq, scATAC-seq, methylome, proteome, phosphoproteome, metabolome)</w:t>
            </w:r>
          </w:p>
        </w:tc>
        <w:tc>
          <w:tcPr/>
          <w:p>
            <w:pPr>
              <w:jc w:val="both"/>
              <w:pStyle w:val="Compact"/>
            </w:pPr>
            <w:r>
              <w:t xml:space="preserve">Hypothesis generation</w:t>
            </w:r>
          </w:p>
        </w:tc>
      </w:tr>
    </w:tbl>
    <w:p>
      <w:pPr>
        <w:jc w:val="both"/>
        <w:pStyle w:val="BodyText"/>
      </w:pPr>
      <w:r>
        <w:t xml:space="preserve">Hallmarks are</w:t>
      </w:r>
      <w:r>
        <w:t xml:space="preserve"> </w:t>
      </w:r>
      <w:r>
        <w:rPr>
          <w:b/>
          <w:bCs/>
        </w:rPr>
        <w:t xml:space="preserve">not</w:t>
      </w:r>
      <w:r>
        <w:t xml:space="preserve"> </w:t>
      </w:r>
      <w:r>
        <w:t xml:space="preserve">treated as 12 independent variables: the composite is primary; the scorecard is supportive, with correlation structure reported.</w:t>
      </w:r>
    </w:p>
    <w:p>
      <w:pPr>
        <w:pStyle w:val="Heading3"/>
      </w:pPr>
      <w:r>
        <w:t xml:space="preserve">7.1 CRCS Statistical Analysis Plan (pre-registered formula — peer-review response)</w:t>
      </w:r>
    </w:p>
    <w:p>
      <w:pPr>
        <w:jc w:val="both"/>
        <w:pStyle w:val="FirstParagraph"/>
      </w:pPr>
      <w:r>
        <w:t xml:space="preserve">The composite is</w:t>
      </w:r>
      <w:r>
        <w:t xml:space="preserve"> </w:t>
      </w:r>
      <w:r>
        <w:rPr>
          <w:b/>
          <w:bCs/>
        </w:rPr>
        <w:t xml:space="preserve">fully specified before data collection</w:t>
      </w:r>
      <w:r>
        <w:t xml:space="preserve"> </w:t>
      </w:r>
      <w:r>
        <w:t xml:space="preserve">to prevent post-hoc weighting:</w:t>
      </w:r>
    </w:p>
    <w:p>
      <w:pPr>
        <w:jc w:val="both"/>
        <w:pStyle w:val="Compact"/>
        <w:numPr>
          <w:ilvl w:val="0"/>
          <w:numId w:val="1015"/>
        </w:numPr>
      </w:pPr>
      <w:r>
        <w:rPr>
          <w:b/>
          <w:bCs/>
        </w:rPr>
        <w:t xml:space="preserve">Components (6):</w:t>
      </w:r>
      <w:r>
        <w:t xml:space="preserve"> </w:t>
      </w:r>
      <w:r>
        <w:t xml:space="preserve">proliferative competence (EdU+ fraction), clonogenic capacity (CFU), DNA-damage burden (γH2AX foci, inverse), senescence burden (SA-β-gal fraction, inverse), mitochondrial function (TMRM, normalized), epigenetic age (Horvath ΔAge, inverse).</w:t>
      </w:r>
    </w:p>
    <w:p>
      <w:pPr>
        <w:jc w:val="both"/>
        <w:pStyle w:val="Compact"/>
        <w:numPr>
          <w:ilvl w:val="1"/>
          <w:numId w:val="1016"/>
        </w:numPr>
      </w:pPr>
      <w:r>
        <w:rPr>
          <w:b/>
          <w:bCs/>
        </w:rPr>
        <w:t xml:space="preserve">v8.2 dual-mode measurement ( — ciliary-proliferation paradox):</w:t>
      </w:r>
      <w:r>
        <w:t xml:space="preserve"> </w:t>
      </w:r>
      <w:r>
        <w:t xml:space="preserve">a cell cannot simultaneously divide (EdU+, CFU) and present a primary cilium (H3/H8 signaling); fibroblasts resorb the cilium at G1/S. CRCS is therefore measured in</w:t>
      </w:r>
      <w:r>
        <w:t xml:space="preserve"> </w:t>
      </w:r>
      <w:r>
        <w:rPr>
          <w:b/>
          <w:bCs/>
        </w:rPr>
        <w:t xml:space="preserve">two defined culture regimes</w:t>
      </w:r>
      <w:r>
        <w:t xml:space="preserve">: (a)</w:t>
      </w:r>
      <w:r>
        <w:t xml:space="preserve"> </w:t>
      </w:r>
      <w:r>
        <w:rPr>
          <w:b/>
          <w:bCs/>
        </w:rPr>
        <w:t xml:space="preserve">proliferative mode</w:t>
      </w:r>
      <w:r>
        <w:t xml:space="preserve"> </w:t>
      </w:r>
      <w:r>
        <w:t xml:space="preserve">(EdU+, CFU, γH2AX, SA-β-gal, TMRM, Horvath-on-dividing-clones — as in v7.3); (b)</w:t>
      </w:r>
      <w:r>
        <w:t xml:space="preserve"> </w:t>
      </w:r>
      <w:r>
        <w:rPr>
          <w:b/>
          <w:bCs/>
        </w:rPr>
        <w:t xml:space="preserve">contact-inhibition/quiescence mode (G0)</w:t>
      </w:r>
      <w:r>
        <w:t xml:space="preserve"> </w:t>
      </w:r>
      <w:r>
        <w:t xml:space="preserve">— cells at confluence with cilia present (cilium length, Hedgehog/Wnt target genes, ciliary-proteome readouts). The two modes are reported as separate domains of the composite (not pooled across incompatible phases), and the cilia-dependent hypotheses (H3, H8) are evaluated in mode (b) only. This removes the biological impossibility an assessor identified (measuring EdU and cilia in the same cell at the same time).</w:t>
      </w:r>
    </w:p>
    <w:p>
      <w:pPr>
        <w:jc w:val="both"/>
        <w:pStyle w:val="Compact"/>
        <w:numPr>
          <w:ilvl w:val="0"/>
          <w:numId w:val="1015"/>
        </w:numPr>
      </w:pPr>
      <w:r>
        <w:rPr>
          <w:b/>
          <w:bCs/>
        </w:rPr>
        <w:t xml:space="preserve">Normalization (v7.3 — kinetic correction):</w:t>
      </w:r>
      <w:r>
        <w:t xml:space="preserve"> </w:t>
      </w:r>
      <w:r>
        <w:t xml:space="preserve">each component z-scored against the</w:t>
      </w:r>
      <w:r>
        <w:t xml:space="preserve"> </w:t>
      </w:r>
      <w:r>
        <w:rPr>
          <w:b/>
          <w:bCs/>
        </w:rPr>
        <w:t xml:space="preserve">control arm (A) distribution</w:t>
      </w:r>
      <w:r>
        <w:t xml:space="preserve"> </w:t>
      </w:r>
      <w:r>
        <w:t xml:space="preserve">within the same donor line and batch (mean 0, SD 1);</w:t>
      </w:r>
      <w:r>
        <w:t xml:space="preserve"> </w:t>
      </w:r>
      <w:r>
        <w:rPr>
          <w:b/>
          <w:bCs/>
        </w:rPr>
        <w:t xml:space="preserve">additionally, the epigenetic-age component is normalized for cell-cycle kinetics</w:t>
      </w:r>
      <w:r>
        <w:t xml:space="preserve"> </w:t>
      </w:r>
      <w:r>
        <w:t xml:space="preserve">— because Horvath clocks track division rate, a stressed slow-cycling cell can show artifactually youthful methylation . The Horvath ΔAge component is therefore evaluated</w:t>
      </w:r>
      <w:r>
        <w:t xml:space="preserve"> </w:t>
      </w:r>
      <w:r>
        <w:rPr>
          <w:b/>
          <w:bCs/>
        </w:rPr>
        <w:t xml:space="preserve">only in proliferating clones</w:t>
      </w:r>
      <w:r>
        <w:t xml:space="preserve"> </w:t>
      </w:r>
      <w:r>
        <w:t xml:space="preserve">(FACS-purified EdU+ fraction) and reported</w:t>
      </w:r>
      <w:r>
        <w:t xml:space="preserve"> </w:t>
      </w:r>
      <w:r>
        <w:rPr>
          <w:b/>
          <w:bCs/>
        </w:rPr>
        <w:t xml:space="preserve">both raw and normalized to population-doubling time</w:t>
      </w:r>
      <w:r>
        <w:t xml:space="preserve"> </w:t>
      </w:r>
      <w:r>
        <w:t xml:space="preserve">(PDT); discordance between raw and PDT-normalized epigenetic age is reported explicitly, and CRCS is considered invalid if the epigenetic component moves opposite to EdU+ (see rule 4).</w:t>
      </w:r>
    </w:p>
    <w:p>
      <w:pPr>
        <w:jc w:val="both"/>
        <w:pStyle w:val="Compact"/>
        <w:numPr>
          <w:ilvl w:val="0"/>
          <w:numId w:val="1015"/>
        </w:numPr>
      </w:pPr>
      <w:r>
        <w:rPr>
          <w:b/>
          <w:bCs/>
        </w:rPr>
        <w:t xml:space="preserve">Weights:</w:t>
      </w:r>
      <w:r>
        <w:t xml:space="preserve"> </w:t>
      </w:r>
      <w:r>
        <w:t xml:space="preserve">fixed equal weights (1/6) — locked at pre-registration; no post-hoc reweighting. Sensitivity analysis removes one component at a time (leave-one-out).</w:t>
      </w:r>
    </w:p>
    <w:p>
      <w:pPr>
        <w:jc w:val="both"/>
        <w:pStyle w:val="Compact"/>
        <w:numPr>
          <w:ilvl w:val="0"/>
          <w:numId w:val="1015"/>
        </w:numPr>
      </w:pPr>
      <w:r>
        <w:rPr>
          <w:b/>
          <w:bCs/>
        </w:rPr>
        <w:t xml:space="preserve">Direction:</w:t>
      </w:r>
      <w:r>
        <w:t xml:space="preserve"> </w:t>
      </w:r>
      <w:r>
        <w:t xml:space="preserve">all components oriented so higher = younger; a priori rule that the composite is</w:t>
      </w:r>
      <w:r>
        <w:t xml:space="preserve"> </w:t>
      </w:r>
      <w:r>
        <w:rPr>
          <w:b/>
          <w:bCs/>
        </w:rPr>
        <w:t xml:space="preserve">invalid</w:t>
      </w:r>
      <w:r>
        <w:t xml:space="preserve"> </w:t>
      </w:r>
      <w:r>
        <w:t xml:space="preserve">if ≥2 components move in opposite directions at p &lt; 0.05 (reported as discordant, not pooled).</w:t>
      </w:r>
    </w:p>
    <w:p>
      <w:pPr>
        <w:jc w:val="both"/>
        <w:pStyle w:val="Compact"/>
        <w:numPr>
          <w:ilvl w:val="0"/>
          <w:numId w:val="1015"/>
        </w:numPr>
      </w:pPr>
      <w:r>
        <w:rPr>
          <w:b/>
          <w:bCs/>
        </w:rPr>
        <w:t xml:space="preserve">Timing gate (v8.0):</w:t>
      </w:r>
      <w:r>
        <w:t xml:space="preserve"> </w:t>
      </w:r>
      <w:r>
        <w:t xml:space="preserve">CRCS is measured</w:t>
      </w:r>
      <w:r>
        <w:t xml:space="preserve"> </w:t>
      </w:r>
      <w:r>
        <w:rPr>
          <w:b/>
          <w:bCs/>
        </w:rPr>
        <w:t xml:space="preserve">no earlier than Passage 6 post-reset</w:t>
      </w:r>
      <w:r>
        <w:t xml:space="preserve"> </w:t>
      </w:r>
      <w:r>
        <w:t xml:space="preserve">— only after appendage acquisition and first-cilium competence are verified (Proof D’, Proof D’’’); before Passage 6 only structural/molecular readouts are reportable. This prevents an immature, cilia-less centriole from producing a false</w:t>
      </w:r>
      <w:r>
        <w:t xml:space="preserve"> </w:t>
      </w:r>
      <w:r>
        <w:t xml:space="preserve">“rejuvenated”</w:t>
      </w:r>
      <w:r>
        <w:t xml:space="preserve"> </w:t>
      </w:r>
      <w:r>
        <w:t xml:space="preserve">or</w:t>
      </w:r>
      <w:r>
        <w:t xml:space="preserve"> </w:t>
      </w:r>
      <w:r>
        <w:t xml:space="preserve">“aged”</w:t>
      </w:r>
      <w:r>
        <w:t xml:space="preserve"> </w:t>
      </w:r>
      <w:r>
        <w:t xml:space="preserve">signal (maturation-lag confounder).</w:t>
      </w:r>
    </w:p>
    <w:p>
      <w:pPr>
        <w:jc w:val="both"/>
        <w:pStyle w:val="Compact"/>
        <w:numPr>
          <w:ilvl w:val="0"/>
          <w:numId w:val="1015"/>
        </w:numPr>
      </w:pPr>
      <w:r>
        <w:rPr>
          <w:b/>
          <w:bCs/>
        </w:rPr>
        <w:t xml:space="preserve">TMRM sensitivity version (v8.0):</w:t>
      </w:r>
      <w:r>
        <w:t xml:space="preserve"> </w:t>
      </w:r>
      <w:r>
        <w:t xml:space="preserve">two pre-registered CRCS variants — (a) full 6-component; (b) 5-component</w:t>
      </w:r>
      <w:r>
        <w:t xml:space="preserve"> </w:t>
      </w:r>
      <w:r>
        <w:rPr>
          <w:b/>
          <w:bCs/>
        </w:rPr>
        <w:t xml:space="preserve">without TMRM</w:t>
      </w:r>
      <w:r>
        <w:t xml:space="preserve"> </w:t>
      </w:r>
      <w:r>
        <w:t xml:space="preserve">(mitochondrial marker is a covariate, §4.3 H7, not a centriole-causal readout). If the two versions diverge on the reset main effect, that is reported as an informative negative result for the mitochondrial route (not silently pooled).</w:t>
      </w:r>
    </w:p>
    <w:p>
      <w:pPr>
        <w:jc w:val="both"/>
        <w:pStyle w:val="Compact"/>
        <w:numPr>
          <w:ilvl w:val="0"/>
          <w:numId w:val="1015"/>
        </w:numPr>
      </w:pPr>
      <w:r>
        <w:rPr>
          <w:b/>
          <w:bCs/>
        </w:rPr>
        <w:t xml:space="preserve">Analysis:</w:t>
      </w:r>
      <w:r>
        <w:t xml:space="preserve"> </w:t>
      </w:r>
      <w:r>
        <w:t xml:space="preserve">mixed-effects model, CRCS ~ reset × OSK + (1|donor) + (1|batch); main effect of reset and interaction reported with 95% CI.</w:t>
      </w:r>
    </w:p>
    <w:p>
      <w:pPr>
        <w:jc w:val="both"/>
        <w:pStyle w:val="Compact"/>
        <w:numPr>
          <w:ilvl w:val="0"/>
          <w:numId w:val="1015"/>
        </w:numPr>
      </w:pPr>
      <w:r>
        <w:rPr>
          <w:b/>
          <w:bCs/>
        </w:rPr>
        <w:t xml:space="preserve">Publication:</w:t>
      </w:r>
      <w:r>
        <w:t xml:space="preserve"> </w:t>
      </w:r>
      <w:r>
        <w:t xml:space="preserve">the SAP is deposited (OSF) before data collection, with the formula verbatim.</w:t>
      </w:r>
    </w:p>
    <w:p>
      <w:pPr>
        <w:jc w:val="both"/>
        <w:pStyle w:val="Compact"/>
        <w:numPr>
          <w:ilvl w:val="0"/>
          <w:numId w:val="1015"/>
        </w:numPr>
      </w:pPr>
      <w:r>
        <w:rPr>
          <w:b/>
          <w:bCs/>
        </w:rPr>
        <w:t xml:space="preserve">PCA secondary score (v7.7):</w:t>
      </w:r>
      <w:r>
        <w:t xml:space="preserve"> </w:t>
      </w:r>
      <w:r>
        <w:t xml:space="preserve">a principal-component composite is pre-registered as a</w:t>
      </w:r>
      <w:r>
        <w:t xml:space="preserve"> </w:t>
      </w:r>
      <w:r>
        <w:rPr>
          <w:b/>
          <w:bCs/>
        </w:rPr>
        <w:t xml:space="preserve">secondary</w:t>
      </w:r>
      <w:r>
        <w:t xml:space="preserve"> </w:t>
      </w:r>
      <w:r>
        <w:t xml:space="preserve">score — PC1 over the six components (loadings reported, not assumed equal), plus a dedicated</w:t>
      </w:r>
      <w:r>
        <w:t xml:space="preserve"> </w:t>
      </w:r>
      <w:r>
        <w:rPr>
          <w:b/>
          <w:bCs/>
        </w:rPr>
        <w:t xml:space="preserve">SASP-panel component</w:t>
      </w:r>
      <w:r>
        <w:t xml:space="preserve"> </w:t>
      </w:r>
      <w:r>
        <w:t xml:space="preserve">(IL-6, IL-8, MMP3, PAI-1) as an independent senescence readout. The equal-weight CRCS remains the pre-registered primary; PCA/SASP is confirmatory and reported side-by-side. Discrepancy between equal-weight and PCA scores triggers explicit reporting (not silent re-weighting).</w:t>
      </w:r>
    </w:p>
    <w:p>
      <w:pPr>
        <w:jc w:val="both"/>
        <w:pStyle w:val="Compact"/>
        <w:numPr>
          <w:ilvl w:val="0"/>
          <w:numId w:val="1015"/>
        </w:numPr>
      </w:pPr>
      <w:r>
        <w:rPr>
          <w:b/>
          <w:bCs/>
        </w:rPr>
        <w:t xml:space="preserve">Latent-factor structure (collinearity):</w:t>
      </w:r>
      <w:r>
        <w:t xml:space="preserve"> </w:t>
      </w:r>
      <w:r>
        <w:t xml:space="preserve">EdU, CFU, SA-β-gal, p16/p21 are collinear; equal weighting of collinear markers understates variance and inflates significance. The composite is therefore restructured as a</w:t>
      </w:r>
      <w:r>
        <w:t xml:space="preserve"> </w:t>
      </w:r>
      <w:r>
        <w:rPr>
          <w:b/>
          <w:bCs/>
        </w:rPr>
        <w:t xml:space="preserve">two-latent-factor model</w:t>
      </w:r>
      <w:r>
        <w:t xml:space="preserve"> </w:t>
      </w:r>
      <w:r>
        <w:t xml:space="preserve">(pre-registered):</w:t>
      </w:r>
      <w:r>
        <w:t xml:space="preserve"> </w:t>
      </w:r>
      <w:r>
        <w:rPr>
          <w:b/>
          <w:bCs/>
        </w:rPr>
        <w:t xml:space="preserve">“Proliferative pool”</w:t>
      </w:r>
      <w:r>
        <w:t xml:space="preserve"> </w:t>
      </w:r>
      <w:r>
        <w:t xml:space="preserve">(EdU, CFU, Horvath-on-dividing) and</w:t>
      </w:r>
      <w:r>
        <w:t xml:space="preserve"> </w:t>
      </w:r>
      <w:r>
        <w:rPr>
          <w:b/>
          <w:bCs/>
        </w:rPr>
        <w:t xml:space="preserve">“Stress response”</w:t>
      </w:r>
      <w:r>
        <w:t xml:space="preserve"> </w:t>
      </w:r>
      <w:r>
        <w:t xml:space="preserve">(γH2AX, SA-β-gal, TMRM, SASP), estimated by</w:t>
      </w:r>
      <w:r>
        <w:t xml:space="preserve"> </w:t>
      </w:r>
      <w:r>
        <w:rPr>
          <w:b/>
          <w:bCs/>
        </w:rPr>
        <w:t xml:space="preserve">structural equation modeling (SEM) or orthogonalized PCA</w:t>
      </w:r>
      <w:r>
        <w:t xml:space="preserve"> </w:t>
      </w:r>
      <w:r>
        <w:t xml:space="preserve">with factor loadings reported; the primary H2 claim is made on the latent-factor contrast (reset vs. control), with the equal-weight CRCS retained only as a descriptive summary index. This replaces equal weighting as the inferential basis (collinearity addressed at the model level, not by assumption).</w:t>
      </w:r>
    </w:p>
    <w:p>
      <w:pPr>
        <w:jc w:val="both"/>
        <w:pStyle w:val="Compact"/>
        <w:numPr>
          <w:ilvl w:val="0"/>
          <w:numId w:val="1015"/>
        </w:numPr>
      </w:pPr>
      <w:r>
        <w:rPr>
          <w:b/>
          <w:bCs/>
        </w:rPr>
        <w:t xml:space="preserve">Single-primary-endpoint option (v8.1):</w:t>
      </w:r>
      <w:r>
        <w:t xml:space="preserve"> </w:t>
      </w:r>
      <w:r>
        <w:t xml:space="preserve">because a composite can mask component-specific effects,</w:t>
      </w:r>
      <w:r>
        <w:t xml:space="preserve"> </w:t>
      </w:r>
      <w:r>
        <w:rPr>
          <w:b/>
          <w:bCs/>
        </w:rPr>
        <w:t xml:space="preserve">EdU+ proliferative fraction is pre-registered as the single primary endpoint</w:t>
      </w:r>
      <w:r>
        <w:t xml:space="preserve"> </w:t>
      </w:r>
      <w:r>
        <w:t xml:space="preserve">for H2 (with SA-β-gal as the second co-primary), and CRCS is reported as the composite secondary — so the headline claim never depends on the composite alone; the composite remains for the multi-hallmark claim.</w:t>
      </w:r>
    </w:p>
    <w:p>
      <w:pPr>
        <w:jc w:val="both"/>
        <w:pStyle w:val="Compact"/>
        <w:numPr>
          <w:ilvl w:val="0"/>
          <w:numId w:val="1015"/>
        </w:numPr>
      </w:pPr>
      <w:r>
        <w:rPr>
          <w:b/>
          <w:bCs/>
        </w:rPr>
        <w:t xml:space="preserve">Bayesian sensitivity (v8.1):</w:t>
      </w:r>
      <w:r>
        <w:t xml:space="preserve"> </w:t>
      </w:r>
      <w:r>
        <w:t xml:space="preserve">a pre-registered Bayesian analysis (Bayes factor for the reset main effect and the interaction; weakly informative priors, donor ICC from Phase 1/0) is reported alongside the frequentist mixed model — a null interaction is credible only if both approaches agree.</w:t>
      </w:r>
    </w:p>
    <w:p>
      <w:pPr>
        <w:pStyle w:val="Heading3"/>
      </w:pPr>
      <w:r>
        <w:t xml:space="preserve">7.2 Effect-size justification (evidence-based response)</w:t>
      </w:r>
    </w:p>
    <w:p>
      <w:pPr>
        <w:jc w:val="both"/>
        <w:pStyle w:val="FirstParagraph"/>
      </w:pPr>
      <w:r>
        <w:t xml:space="preserve">The 25% CRCS improvement is a</w:t>
      </w:r>
      <w:r>
        <w:t xml:space="preserve"> </w:t>
      </w:r>
      <w:r>
        <w:rPr>
          <w:b/>
          <w:bCs/>
        </w:rPr>
        <w:t xml:space="preserve">declared minimal detectable effect</w:t>
      </w:r>
      <w:r>
        <w:t xml:space="preserve"> </w:t>
      </w:r>
      <w:r>
        <w:t xml:space="preserve">(MDE), not an effect estimate: with N=10/arm, SD≈1.0 (z-score metric), α=0.05, two-sided, power 0.85 yields MDE ≈ 0.25 SD units (composite).</w:t>
      </w:r>
      <w:r>
        <w:t xml:space="preserve"> </w:t>
      </w:r>
      <w:r>
        <w:rPr>
          <w:b/>
          <w:bCs/>
        </w:rPr>
        <w:t xml:space="preserve">Biological anchoring (per earlier review):</w:t>
      </w:r>
      <w:r>
        <w:t xml:space="preserve"> </w:t>
      </w:r>
      <w:r>
        <w:t xml:space="preserve">the MDE is anchored to published OSK effect sizes on comparable readouts — OSK/OSKM partial reprogramming produces multi-hallmark improvements of comparable or larger magnitude on composite aging readouts in vivo (Ocampo 2016, PMID 27984723: partial reprogramming extended median lifespan in progeroid mice and improved multiple hallmarks; Lu 2020, PMID 33268865: OSK restored youthful methylation and vision). The 0.25 SD threshold therefore represents a</w:t>
      </w:r>
      <w:r>
        <w:t xml:space="preserve"> </w:t>
      </w:r>
      <w:r>
        <w:rPr>
          <w:b/>
          <w:bCs/>
        </w:rPr>
        <w:t xml:space="preserve">conservative fraction of a known-positive benchmark</w:t>
      </w:r>
      <w:r>
        <w:t xml:space="preserve"> </w:t>
      </w:r>
      <w:r>
        <w:t xml:space="preserve">(a smaller effect than OSK itself would not be claimed as a rejuvenation signal), not an arbitrary number. Pilot (Phase 1, N=3/arm) will estimate the observed effect; the MDE is revised only by a pre-registered amendment, never by data inspection.</w:t>
      </w:r>
    </w:p>
    <w:p>
      <w:pPr>
        <w:jc w:val="both"/>
        <w:pStyle w:val="BodyText"/>
      </w:pPr>
      <w:r>
        <w:rPr>
          <w:b/>
          <w:bCs/>
        </w:rPr>
        <w:t xml:space="preserve">Interaction-term power (evidence-based response):</w:t>
      </w:r>
      <w:r>
        <w:t xml:space="preserve"> </w:t>
      </w:r>
      <w:r>
        <w:t xml:space="preserve">power for the</w:t>
      </w:r>
      <w:r>
        <w:t xml:space="preserve"> </w:t>
      </w:r>
      <w:r>
        <w:rPr>
          <w:b/>
          <w:bCs/>
        </w:rPr>
        <w:t xml:space="preserve">OSK × reset interaction</w:t>
      </w:r>
      <w:r>
        <w:t xml:space="preserve"> </w:t>
      </w:r>
      <w:r>
        <w:t xml:space="preserve">(H3) is computed separately by</w:t>
      </w:r>
      <w:r>
        <w:t xml:space="preserve"> </w:t>
      </w:r>
      <w:r>
        <w:rPr>
          <w:b/>
          <w:bCs/>
        </w:rPr>
        <w:t xml:space="preserve">mixed-model simulation</w:t>
      </w:r>
      <w:r>
        <w:t xml:space="preserve"> </w:t>
      </w:r>
      <w:r>
        <w:t xml:space="preserve">(1,000 iterations, donor/batch random effects), not by the main-effect formula — interaction detection in 2×2 designs requires substantially larger N (standard result). The simulation is run at the SAP stage (pre-data) and reports power for an interaction of Cohen’s f² = 0.10; if power &lt; 80%, either N is increased (pre-registered) or H3 is demoted from primary to secondary with the main effect of reset as the primary claim — decided</w:t>
      </w:r>
      <w:r>
        <w:t xml:space="preserve"> </w:t>
      </w:r>
      <w:r>
        <w:rPr>
          <w:b/>
          <w:bCs/>
        </w:rPr>
        <w:t xml:space="preserve">before</w:t>
      </w:r>
      <w:r>
        <w:t xml:space="preserve"> </w:t>
      </w:r>
      <w:r>
        <w:t xml:space="preserve">data collection, never after.</w:t>
      </w:r>
      <w:r>
        <w:t xml:space="preserve"> </w:t>
      </w:r>
      <w:r>
        <w:rPr>
          <w:b/>
          <w:bCs/>
        </w:rPr>
        <w:t xml:space="preserve">Sequential interaction analysis (v8.0):</w:t>
      </w:r>
      <w:r>
        <w:t xml:space="preserve"> </w:t>
      </w:r>
      <w:r>
        <w:t xml:space="preserve">because N=10/arm cannot power a small interaction, a pre-registered escalation is added: if at N=10/arm the interaction is not detected (p &gt; 0.10), N is escalated to 20/arm (pre-registered amendment) before a final H3 verdict; the escalation itself is reported (N, power gain) so a null interaction is a real null, not an underpowered one.</w:t>
      </w:r>
    </w:p>
    <w:p>
      <w:pPr>
        <w:pStyle w:val="Heading2"/>
      </w:pPr>
      <w:r>
        <w:t xml:space="preserve">8. Statistical Design</w:t>
      </w:r>
    </w:p>
    <w:tbl>
      <w:tblPr>
        <w:tblStyle w:val="Table"/>
        <w:tblW w:w="9026" w:type="dxa"/>
        <w:tblLayout w:type="fixed"/>
        <w:tblLook w:firstRow="1" w:lastRow="0" w:firstColumn="0" w:lastColumn="0" w:noHBand="0" w:noVBand="0" w:val="0020"/>
        <w:jc w:val="center"/>
      </w:tblPr>
      <w:tblGrid>
        <w:gridCol w:w="2970"/>
        <w:gridCol w:w="4950"/>
      </w:tblGrid>
      <w:tr>
        <w:trPr>
          <w:tblHeader w:val="on"/>
        </w:trPr>
        <w:tc>
          <w:tcPr/>
          <w:p>
            <w:pPr>
              <w:jc w:val="both"/>
              <w:pStyle w:val="Compact"/>
            </w:pPr>
            <w:r>
              <w:t xml:space="preserve">Element</w:t>
            </w:r>
          </w:p>
        </w:tc>
        <w:tc>
          <w:tcPr/>
          <w:p>
            <w:pPr>
              <w:jc w:val="both"/>
              <w:pStyle w:val="Compact"/>
            </w:pPr>
            <w:r>
              <w:t xml:space="preserve">Specification</w:t>
            </w:r>
          </w:p>
        </w:tc>
      </w:tr>
      <w:tr>
        <w:tc>
          <w:tcPr/>
          <w:p>
            <w:pPr>
              <w:jc w:val="both"/>
              <w:pStyle w:val="Compact"/>
            </w:pPr>
            <w:r>
              <w:t xml:space="preserve">Design</w:t>
            </w:r>
          </w:p>
        </w:tc>
        <w:tc>
          <w:tcPr/>
          <w:p>
            <w:pPr>
              <w:jc w:val="both"/>
              <w:pStyle w:val="Compact"/>
            </w:pPr>
            <w:r>
              <w:t xml:space="preserve">2×2 factorial (+ perturbation arm), mixed-effects models (donor, batch, experimenter as random)</w:t>
            </w:r>
          </w:p>
        </w:tc>
      </w:tr>
      <w:tr>
        <w:tc>
          <w:tcPr/>
          <w:p>
            <w:pPr>
              <w:jc w:val="both"/>
              <w:pStyle w:val="Compact"/>
            </w:pPr>
            <w:r>
              <w:t xml:space="preserve">Primary test</w:t>
            </w:r>
          </w:p>
        </w:tc>
        <w:tc>
          <w:tcPr/>
          <w:p>
            <w:pPr>
              <w:jc w:val="both"/>
              <w:pStyle w:val="Compact"/>
            </w:pPr>
            <w:r>
              <w:t xml:space="preserve">Main effect of reset + OSK×reset interaction on CRCS</w:t>
            </w:r>
          </w:p>
        </w:tc>
      </w:tr>
      <w:tr>
        <w:tc>
          <w:tcPr/>
          <w:p>
            <w:pPr>
              <w:jc w:val="both"/>
              <w:pStyle w:val="Compact"/>
            </w:pPr>
            <w:r>
              <w:t xml:space="preserve">Power</w:t>
            </w:r>
          </w:p>
        </w:tc>
        <w:tc>
          <w:tcPr/>
          <w:p>
            <w:pPr>
              <w:jc w:val="both"/>
              <w:pStyle w:val="Compact"/>
            </w:pPr>
            <w:r>
              <w:t xml:space="preserve">N = 10 replicates × 3 donor lines (young/middle/old) → &gt;85% at α = 0.05 for 25% CRCS improvement</w:t>
            </w:r>
          </w:p>
        </w:tc>
      </w:tr>
      <w:tr>
        <w:tc>
          <w:tcPr/>
          <w:p>
            <w:pPr>
              <w:jc w:val="both"/>
              <w:pStyle w:val="Compact"/>
            </w:pPr>
            <w:r>
              <w:t xml:space="preserve">Multiple testing</w:t>
            </w:r>
          </w:p>
        </w:tc>
        <w:tc>
          <w:tcPr/>
          <w:p>
            <w:pPr>
              <w:jc w:val="both"/>
              <w:pStyle w:val="Compact"/>
            </w:pPr>
            <w:r>
              <w:t xml:space="preserve">FDR (Benjamini–Hochberg) across secondary readouts with</w:t>
            </w:r>
            <w:r>
              <w:t xml:space="preserve"> </w:t>
            </w:r>
            <w:r>
              <w:rPr>
                <w:sz w:val="18"/>
                <w:szCs w:val="18"/>
                <w:b/>
                <w:bCs/>
              </w:rPr>
              <w:t xml:space="preserve">pre-specified q = 0.05</w:t>
            </w:r>
            <w:r>
              <w:t xml:space="preserve"> </w:t>
            </w:r>
            <w:r>
              <w:t xml:space="preserve">(sensitivity at q = 0.10 reported); interaction terms reported with CIs</w:t>
            </w:r>
          </w:p>
        </w:tc>
      </w:tr>
      <w:tr>
        <w:tc>
          <w:tcPr/>
          <w:p>
            <w:pPr>
              <w:jc w:val="both"/>
              <w:pStyle w:val="Compact"/>
            </w:pPr>
            <w:r>
              <w:t xml:space="preserve">Blinding</w:t>
            </w:r>
          </w:p>
        </w:tc>
        <w:tc>
          <w:tcPr/>
          <w:p>
            <w:pPr>
              <w:jc w:val="both"/>
              <w:pStyle w:val="Compact"/>
            </w:pPr>
            <w:r>
              <w:t xml:space="preserve">Senescence scoring, EM, colony counting — blinded operators</w:t>
            </w:r>
          </w:p>
        </w:tc>
      </w:tr>
      <w:tr>
        <w:tc>
          <w:tcPr/>
          <w:p>
            <w:pPr>
              <w:jc w:val="both"/>
              <w:pStyle w:val="Compact"/>
            </w:pPr>
            <w:r>
              <w:t xml:space="preserve">Pre-registration</w:t>
            </w:r>
          </w:p>
        </w:tc>
        <w:tc>
          <w:tcPr/>
          <w:p>
            <w:pPr>
              <w:jc w:val="both"/>
              <w:pStyle w:val="Compact"/>
            </w:pPr>
            <w:r>
              <w:t xml:space="preserve">Protocol + falsification criteria (Table §4) +</w:t>
            </w:r>
            <w:r>
              <w:t xml:space="preserve"> </w:t>
            </w:r>
            <w:r>
              <w:rPr>
                <w:b/>
                <w:bCs/>
              </w:rPr>
              <w:t xml:space="preserve">SAP in full</w:t>
            </w:r>
            <w:r>
              <w:t xml:space="preserve"> </w:t>
            </w:r>
            <w:r>
              <w:t xml:space="preserve">(fixed CRCS weights, interaction matrix §6.1a, mixed-model formula, ICC priors, stopping boundaries, H_programmed test) registered before data collection (OSF/AsPredicted);</w:t>
            </w:r>
            <w:r>
              <w:t xml:space="preserve"> </w:t>
            </w:r>
            <w:r>
              <w:rPr>
                <w:b/>
                <w:bCs/>
              </w:rPr>
              <w:t xml:space="preserve">a second independent analyst re-checks that the registered SAP matches the executed analysis</w:t>
            </w:r>
            <w:r>
              <w:t xml:space="preserve"> </w:t>
            </w:r>
            <w:r>
              <w:t xml:space="preserve">(: statistical pre-registration must be binding, not descriptive)</w:t>
            </w:r>
          </w:p>
        </w:tc>
      </w:tr>
      <w:tr>
        <w:tc>
          <w:tcPr/>
          <w:p>
            <w:pPr>
              <w:jc w:val="both"/>
              <w:pStyle w:val="Compact"/>
            </w:pPr>
            <w:r>
              <w:t xml:space="preserve">Stopping rules</w:t>
            </w:r>
          </w:p>
        </w:tc>
        <w:tc>
          <w:tcPr/>
          <w:p>
            <w:pPr>
              <w:jc w:val="both"/>
              <w:pStyle w:val="Compact"/>
            </w:pPr>
            <w:r>
              <w:rPr>
                <w:b/>
                <w:bCs/>
              </w:rPr>
              <w:t xml:space="preserve">Efficacy futility:</w:t>
            </w:r>
            <w:r>
              <w:t xml:space="preserve"> </w:t>
            </w:r>
            <w:r>
              <w:t xml:space="preserve">interim analysis at 5 replicates</w:t>
            </w:r>
            <w:r>
              <w:t xml:space="preserve"> </w:t>
            </w:r>
            <w:r>
              <w:rPr>
                <w:b/>
                <w:bCs/>
              </w:rPr>
              <w:t xml:space="preserve">per arm</w:t>
            </w:r>
            <w:r>
              <w:t xml:space="preserve">; futility stop if B ≤ A with p &gt; 0.7 (conditional power &lt; 20%, via simulation, pre-registered).</w:t>
            </w:r>
            <w:r>
              <w:t xml:space="preserve"> </w:t>
            </w:r>
            <w:r>
              <w:rPr>
                <w:b/>
                <w:bCs/>
              </w:rPr>
              <w:t xml:space="preserve">Safety futility (added per earlier review):</w:t>
            </w:r>
            <w:r>
              <w:t xml:space="preserve"> </w:t>
            </w:r>
            <w:r>
              <w:t xml:space="preserve">symmetric pre-specified boundary — if the genome-integrity gate fails in ≥5% of replicates at interim, the trial stops</w:t>
            </w:r>
            <w:r>
              <w:t xml:space="preserve"> </w:t>
            </w:r>
            <w:r>
              <w:rPr>
                <w:b/>
                <w:bCs/>
              </w:rPr>
              <w:t xml:space="preserve">regardless of efficacy</w:t>
            </w:r>
            <w:r>
              <w:t xml:space="preserve"> </w:t>
            </w:r>
            <w:r>
              <w:t xml:space="preserve">(asymmetric monitoring: safety can stop, efficacy cannot continue past a failing gate); early-stop false-negative risk acknowledged; final N fixed unless a pre-registered boundary is crossed</w:t>
            </w:r>
          </w:p>
        </w:tc>
      </w:tr>
      <w:tr>
        <w:tc>
          <w:tcPr/>
          <w:p>
            <w:pPr>
              <w:jc w:val="both"/>
              <w:pStyle w:val="Compact"/>
            </w:pPr>
            <w:r>
              <w:t xml:space="preserve">Replication</w:t>
            </w:r>
          </w:p>
        </w:tc>
        <w:tc>
          <w:tcPr/>
          <w:p>
            <w:pPr>
              <w:jc w:val="both"/>
              <w:pStyle w:val="Compact"/>
            </w:pPr>
            <w:r>
              <w:t xml:space="preserve">3 donor lines: &lt;30, 45–55, &gt;65 y.</w:t>
            </w:r>
            <w:r>
              <w:t xml:space="preserve"> </w:t>
            </w:r>
            <w:r>
              <w:rPr>
                <w:b/>
                <w:bCs/>
              </w:rPr>
              <w:t xml:space="preserve">Structure made explicit:</w:t>
            </w:r>
            <w:r>
              <w:t xml:space="preserve"> </w:t>
            </w:r>
            <w:r>
              <w:t xml:space="preserve">each</w:t>
            </w:r>
            <w:r>
              <w:t xml:space="preserve"> </w:t>
            </w:r>
            <w:r>
              <w:t xml:space="preserve">“donor line”</w:t>
            </w:r>
            <w:r>
              <w:t xml:space="preserve"> </w:t>
            </w:r>
            <w:r>
              <w:t xml:space="preserve">= one independent biological donor (n=1 per age stratum); the 10 replicates are biological replicates within a donor (independent vials/thaw batches), analyzed as random effects. Between-donor (age) variance is therefore estimated with n=1 per stratum — an explicit limitation; the age-stratification claim is secondary, the within-line reset effect is primary. Independent labs optional (multi-site plan).</w:t>
            </w:r>
            <w:r>
              <w:t xml:space="preserve"> </w:t>
            </w:r>
            <w:r>
              <w:rPr>
                <w:b/>
                <w:bCs/>
              </w:rPr>
              <w:t xml:space="preserve">v8.1 donor expansion :</w:t>
            </w:r>
            <w:r>
              <w:t xml:space="preserve"> </w:t>
            </w:r>
            <w:r>
              <w:t xml:space="preserve">target</w:t>
            </w:r>
            <w:r>
              <w:t xml:space="preserve"> </w:t>
            </w:r>
            <w:r>
              <w:rPr>
                <w:b/>
                <w:bCs/>
              </w:rPr>
              <w:t xml:space="preserve">≥5 donor lines</w:t>
            </w:r>
            <w:r>
              <w:t xml:space="preserve"> </w:t>
            </w:r>
            <w:r>
              <w:t xml:space="preserve">(2 per age stratum) for the age-contrast claim, with the n=3 minimum for the within-line reset claim; the expansion is a pre-registered budget item — if funding supports only n=3, the age analysis is explicitly labeled exploratory in the abstract (already done, §8 note)</w:t>
            </w:r>
          </w:p>
        </w:tc>
      </w:tr>
      <w:tr>
        <w:tc>
          <w:tcPr/>
          <w:p>
            <w:pPr>
              <w:jc w:val="both"/>
              <w:pStyle w:val="Compact"/>
            </w:pPr>
            <w:r>
              <w:rPr>
                <w:b/>
                <w:bCs/>
              </w:rPr>
              <w:t xml:space="preserve">Donor/replicate/power formalism (critical assessment)</w:t>
            </w:r>
          </w:p>
        </w:tc>
        <w:tc>
          <w:tcPr/>
          <w:p>
            <w:pPr>
              <w:jc w:val="both"/>
              <w:pStyle w:val="Compact"/>
            </w:pPr>
            <w:r>
              <w:t xml:space="preserve">Full mixed-model specification: CRCS ~ reset × OSK + age_stratum + (1 + reset | donor) + (1 | batch) + (1 | vial);</w:t>
            </w:r>
            <w:r>
              <w:t xml:space="preserve"> </w:t>
            </w:r>
            <w:r>
              <w:rPr>
                <w:b/>
                <w:bCs/>
              </w:rPr>
              <w:t xml:space="preserve">variance components estimated (ICC) with Satterthwaite/Kenward–Roger df</w:t>
            </w:r>
            <w:r>
              <w:t xml:space="preserve">; power computed by</w:t>
            </w:r>
            <w:r>
              <w:t xml:space="preserve"> </w:t>
            </w:r>
            <w:r>
              <w:rPr>
                <w:b/>
                <w:bCs/>
              </w:rPr>
              <w:t xml:space="preserve">simulation on the fitted model</w:t>
            </w:r>
            <w:r>
              <w:t xml:space="preserve"> </w:t>
            </w:r>
            <w:r>
              <w:t xml:space="preserve">(not the ANOVA formula) with donor and vial ICC entered as priors from Phase 1;</w:t>
            </w:r>
            <w:r>
              <w:t xml:space="preserve"> </w:t>
            </w:r>
            <w:r>
              <w:rPr>
                <w:b/>
                <w:bCs/>
              </w:rPr>
              <w:t xml:space="preserve">replicates are nested within donor, never pooled as independent</w:t>
            </w:r>
            <w:r>
              <w:t xml:space="preserve"> </w:t>
            </w:r>
            <w:r>
              <w:t xml:space="preserve">— the unit of analysis for the age claim is the donor (n=3, explicitly underpowered for age, powered for within-line reset); report: ICC, df, CIs for all variance components; this is the full formalization of the</w:t>
            </w:r>
            <w:r>
              <w:t xml:space="preserve"> </w:t>
            </w:r>
            <w:r>
              <w:t xml:space="preserve">“donor/replicate/power”</w:t>
            </w:r>
            <w:r>
              <w:t xml:space="preserve"> </w:t>
            </w:r>
            <w:r>
              <w:t xml:space="preserve">hole</w:t>
            </w:r>
          </w:p>
        </w:tc>
      </w:tr>
    </w:tbl>
    <w:p>
      <w:pPr>
        <w:pStyle w:val="Heading2"/>
      </w:pPr>
      <w:r>
        <w:t xml:space="preserve">9. Orthogonal Validation (conclusion independent of any single assay)</w:t>
      </w:r>
    </w:p>
    <w:p>
      <w:pPr>
        <w:jc w:val="both"/>
        <w:pStyle w:val="FirstParagraph"/>
      </w:pPr>
      <w:r>
        <w:t xml:space="preserve">Imaging (morphology) · Ultrastructure (EM/cryo-ET) · Molecular (centriole proteome/PTMs) · Functional (centrosomal activity) · Genomic (ploidy + structure) · Epigenomic (methylation/chromatin) · Transcriptomic (RNA-seq) · Phenotypic (division, differentiation, stress resistance).</w:t>
      </w:r>
    </w:p>
    <w:p>
      <w:pPr>
        <w:jc w:val="both"/>
        <w:pStyle w:val="BodyText"/>
      </w:pPr>
      <w:r>
        <w:rPr>
          <w:b/>
          <w:bCs/>
        </w:rPr>
        <w:t xml:space="preserve">v8.2 technology additions :</w:t>
      </w:r>
      <w:r>
        <w:t xml:space="preserve"> </w:t>
      </w:r>
      <w:r>
        <w:t xml:space="preserve">(1)</w:t>
      </w:r>
      <w:r>
        <w:t xml:space="preserve"> </w:t>
      </w:r>
      <w:r>
        <w:rPr>
          <w:b/>
          <w:bCs/>
        </w:rPr>
        <w:t xml:space="preserve">CUT&amp;RUN on centriolar-proximal chromatin</w:t>
      </w:r>
      <w:r>
        <w:t xml:space="preserve"> </w:t>
      </w:r>
      <w:r>
        <w:t xml:space="preserve">(centrin-anchored CUT&amp;RUN) tests whether the old centriole tethers repressive H3K9me3 domains near the nucleus and whether a de novo centriole releases stemness promoters (LGR5, SOX2) — a direct centriole→3D-nuclear-architecture readout for H3; (2)</w:t>
      </w:r>
      <w:r>
        <w:t xml:space="preserve"> </w:t>
      </w:r>
      <w:r>
        <w:rPr>
          <w:b/>
          <w:bCs/>
        </w:rPr>
        <w:t xml:space="preserve">Lattice Light-Sheet microscopy (LLSM)</w:t>
      </w:r>
      <w:r>
        <w:t xml:space="preserve"> </w:t>
      </w:r>
      <w:r>
        <w:t xml:space="preserve">for Proof B/D’ in live cells — phototoxicity-free imaging of ODF2/Ninein recruitment to the maturing de novo centriole; (3)</w:t>
      </w:r>
      <w:r>
        <w:t xml:space="preserve"> </w:t>
      </w:r>
      <w:r>
        <w:rPr>
          <w:b/>
          <w:bCs/>
        </w:rPr>
        <w:t xml:space="preserve">in situ cryo-ET (FIB-SEM)</w:t>
      </w:r>
      <w:r>
        <w:t xml:space="preserve"> </w:t>
      </w:r>
      <w:r>
        <w:t xml:space="preserve">for H_programmed — 9-fold cartwheel integrity and triplet geometry of de novo vs. aged templated centrioles in the native cellular context. These are listed as available methods for the respective proofs, not additional hypotheses.</w:t>
      </w:r>
    </w:p>
    <w:p>
      <w:pPr>
        <w:pStyle w:val="Heading2"/>
      </w:pPr>
      <w:r>
        <w:t xml:space="preserve">10. Regime Analysis: Where Accumulation Would Act (if confirmed)</w:t>
      </w:r>
    </w:p>
    <w:tbl>
      <w:tblPr>
        <w:tblStyle w:val="Table"/>
        <w:tblW w:w="9026" w:type="dxa"/>
        <w:tblLayout w:type="fixed"/>
        <w:tblLook w:firstRow="1" w:lastRow="0" w:firstColumn="0" w:lastColumn="0" w:noHBand="0" w:noVBand="0" w:val="0020"/>
        <w:jc w:val="center"/>
      </w:tblPr>
      <w:tblGrid>
        <w:gridCol w:w="3168"/>
        <w:gridCol w:w="2772"/>
        <w:gridCol w:w="1980"/>
      </w:tblGrid>
      <w:tr>
        <w:trPr>
          <w:tblHeader w:val="on"/>
        </w:trPr>
        <w:tc>
          <w:tcPr/>
          <w:p>
            <w:pPr>
              <w:jc w:val="both"/>
              <w:pStyle w:val="Compact"/>
            </w:pPr>
            <w:r>
              <w:t xml:space="preserve">Regime</w:t>
            </w:r>
          </w:p>
        </w:tc>
        <w:tc>
          <w:tcPr/>
          <w:p>
            <w:pPr>
              <w:jc w:val="both"/>
              <w:pStyle w:val="Compact"/>
            </w:pPr>
            <w:r>
              <w:t xml:space="preserve">Claim</w:t>
            </w:r>
          </w:p>
        </w:tc>
        <w:tc>
          <w:tcPr/>
          <w:p>
            <w:pPr>
              <w:jc w:val="both"/>
              <w:pStyle w:val="Compact"/>
            </w:pPr>
            <w:r>
              <w:t xml:space="preserve">Level</w:t>
            </w:r>
          </w:p>
        </w:tc>
      </w:tr>
      <w:tr>
        <w:tc>
          <w:tcPr/>
          <w:p>
            <w:pPr>
              <w:jc w:val="both"/>
              <w:pStyle w:val="Compact"/>
            </w:pPr>
            <w:r>
              <w:t xml:space="preserve">A. Chronological age (β·t)</w:t>
            </w:r>
          </w:p>
        </w:tc>
        <w:tc>
          <w:tcPr/>
          <w:p>
            <w:pPr>
              <w:jc w:val="both"/>
              <w:pStyle w:val="Compact"/>
            </w:pPr>
            <w:r>
              <w:t xml:space="preserve">Long-lived organelle accumulates PTM/stochastic damage</w:t>
            </w:r>
          </w:p>
        </w:tc>
        <w:tc>
          <w:tcPr/>
          <w:p>
            <w:pPr>
              <w:jc w:val="both"/>
              <w:pStyle w:val="Compact"/>
            </w:pPr>
            <w:r>
              <w:t xml:space="preserve">[I]—[H]</w:t>
            </w:r>
          </w:p>
        </w:tc>
      </w:tr>
      <w:tr>
        <w:tc>
          <w:tcPr/>
          <w:p>
            <w:pPr>
              <w:jc w:val="both"/>
              <w:pStyle w:val="Compact"/>
            </w:pPr>
            <w:r>
              <w:t xml:space="preserve">B. Asymmetric stem-cell divisions (−λ·N_asym)</w:t>
            </w:r>
          </w:p>
        </w:tc>
        <w:tc>
          <w:tcPr/>
          <w:p>
            <w:pPr>
              <w:jc w:val="both"/>
              <w:pStyle w:val="Compact"/>
            </w:pPr>
            <w:r>
              <w:t xml:space="preserve">Older centrosome retained by stem cell; may bias fate</w:t>
            </w:r>
          </w:p>
        </w:tc>
        <w:tc>
          <w:tcPr/>
          <w:p>
            <w:pPr>
              <w:jc w:val="both"/>
              <w:pStyle w:val="Compact"/>
            </w:pPr>
            <w:r>
              <w:t xml:space="preserve">[E] inheritance; [H] accumulation</w:t>
            </w:r>
          </w:p>
        </w:tc>
      </w:tr>
      <w:tr>
        <w:tc>
          <w:tcPr/>
          <w:p>
            <w:pPr>
              <w:jc w:val="both"/>
              <w:pStyle w:val="Compact"/>
            </w:pPr>
            <w:r>
              <w:t xml:space="preserve">C. Differentiating daughters without elimination</w:t>
            </w:r>
          </w:p>
        </w:tc>
        <w:tc>
          <w:tcPr/>
          <w:p>
            <w:pPr>
              <w:jc w:val="both"/>
              <w:pStyle w:val="Compact"/>
            </w:pPr>
            <w:r>
              <w:t xml:space="preserve">Mammals retain; C. elegans eliminates</w:t>
            </w:r>
          </w:p>
        </w:tc>
        <w:tc>
          <w:tcPr/>
          <w:p>
            <w:pPr>
              <w:jc w:val="both"/>
              <w:pStyle w:val="Compact"/>
            </w:pPr>
            <w:r>
              <w:t xml:space="preserve">[E] both strategies exist; [H] consequence</w:t>
            </w:r>
          </w:p>
        </w:tc>
      </w:tr>
    </w:tbl>
    <w:p>
      <w:pPr>
        <w:jc w:val="both"/>
        <w:pStyle w:val="BlockText"/>
      </w:pPr>
      <w:r>
        <w:rPr>
          <w:b/>
          <w:bCs/>
        </w:rPr>
        <w:t xml:space="preserve">Red thread (2026-08-11):</w:t>
      </w:r>
      <w:r>
        <w:t xml:space="preserve"> </w:t>
      </w:r>
      <w:r>
        <w:t xml:space="preserve">The organism ages because the</w:t>
      </w:r>
      <w:r>
        <w:t xml:space="preserve"> </w:t>
      </w:r>
      <w:r>
        <w:rPr>
          <w:b/>
          <w:bCs/>
        </w:rPr>
        <w:t xml:space="preserve">oldest centrioles — carrying the most errors — accumulate in stem cells</w:t>
      </w:r>
      <w:r>
        <w:t xml:space="preserve">. Templated geometry change (mother→daughter) is</w:t>
      </w:r>
      <w:r>
        <w:t xml:space="preserve"> </w:t>
      </w:r>
      <w:r>
        <w:rPr>
          <w:b/>
          <w:bCs/>
        </w:rPr>
        <w:t xml:space="preserve">hypothesized to be programmed — possibly a part of the differentiation mechanism itself</w:t>
      </w:r>
      <w:r>
        <w:t xml:space="preserve"> </w:t>
      </w:r>
      <w:r>
        <w:t xml:space="preserve">(H_programmed), and is inseparable from superimposed stochastic errors; together they form the</w:t>
      </w:r>
      <w:r>
        <w:t xml:space="preserve"> </w:t>
      </w:r>
      <w:r>
        <w:rPr>
          <w:b/>
          <w:bCs/>
        </w:rPr>
        <w:t xml:space="preserve">temporal entropy</w:t>
      </w:r>
      <w:r>
        <w:t xml:space="preserve"> </w:t>
      </w:r>
      <w:r>
        <w:t xml:space="preserve">of the retained oldest centriole. As a result, division tempo falls and niche-signal perception falls (centrosome + cilium function), so</w:t>
      </w:r>
      <w:r>
        <w:t xml:space="preserve"> </w:t>
      </w:r>
      <w:r>
        <w:rPr>
          <w:b/>
          <w:bCs/>
        </w:rPr>
        <w:t xml:space="preserve">tissue self-repair declines while self-destruction rises</w:t>
      </w:r>
      <w:r>
        <w:t xml:space="preserve"> </w:t>
      </w:r>
      <w:r>
        <w:t xml:space="preserve">(imbalance: repair↓ / destruction↑). This is the</w:t>
      </w:r>
      <w:r>
        <w:t xml:space="preserve"> </w:t>
      </w:r>
      <w:r>
        <w:rPr>
          <w:b/>
          <w:bCs/>
        </w:rPr>
        <w:t xml:space="preserve">cell/tissue-level hypothesis</w:t>
      </w:r>
      <w:r>
        <w:t xml:space="preserve"> </w:t>
      </w:r>
      <w:r>
        <w:t xml:space="preserve">(organismal claims require the in vivo ladder — §5 Proof Ladder levels 4–5, planned: C. elegans/organoid → mouse), retained across CEDAR (v1.8), MCARA (v5.8), and this protocol.</w:t>
      </w:r>
    </w:p>
    <w:p>
      <w:pPr>
        <w:jc w:val="both"/>
        <w:pStyle w:val="FirstParagraph"/>
      </w:pPr>
      <w:r>
        <w:t xml:space="preserve">This regime analysis motivates the protocol; it is</w:t>
      </w:r>
      <w:r>
        <w:t xml:space="preserve"> </w:t>
      </w:r>
      <w:r>
        <w:rPr>
          <w:b/>
          <w:bCs/>
        </w:rPr>
        <w:t xml:space="preserve">not</w:t>
      </w:r>
      <w:r>
        <w:t xml:space="preserve"> </w:t>
      </w:r>
      <w:r>
        <w:t xml:space="preserve">evidence of the causal claim.</w:t>
      </w:r>
    </w:p>
    <w:p>
      <w:pPr>
        <w:pStyle w:val="Heading2"/>
      </w:pPr>
      <w:r>
        <w:t xml:space="preserve">11. The Concept of</w:t>
      </w:r>
      <w:r>
        <w:t xml:space="preserve"> </w:t>
      </w:r>
      <w:r>
        <w:t xml:space="preserve">“Entropy”</w:t>
      </w:r>
      <w:r>
        <w:t xml:space="preserve"> </w:t>
      </w:r>
      <w:r>
        <w:t xml:space="preserve">— Operational Definition</w:t>
      </w:r>
    </w:p>
    <w:p>
      <w:pPr>
        <w:jc w:val="both"/>
        <w:pStyle w:val="FirstParagraph"/>
      </w:pPr>
      <w:r>
        <w:t xml:space="preserve">Where</w:t>
      </w:r>
      <w:r>
        <w:t xml:space="preserve"> </w:t>
      </w:r>
      <w:r>
        <w:t xml:space="preserve">“entropy”</w:t>
      </w:r>
      <w:r>
        <w:t xml:space="preserve"> </w:t>
      </w:r>
      <w:r>
        <w:t xml:space="preserve">is used (program name only), it refers to</w:t>
      </w:r>
      <w:r>
        <w:t xml:space="preserve"> </w:t>
      </w:r>
      <w:r>
        <w:rPr>
          <w:b/>
          <w:bCs/>
        </w:rPr>
        <w:t xml:space="preserve">structural disorder / damage accumulation</w:t>
      </w:r>
      <w:r>
        <w:t xml:space="preserve"> </w:t>
      </w:r>
      <w:r>
        <w:t xml:space="preserve">with a defined state variable. If the physical term is used, the definition is:</w:t>
      </w:r>
    </w:p>
    <w:p>
      <w:pPr>
        <w:jc w:val="both"/>
        <w:pStyle w:val="BlockText"/>
      </w:pPr>
      <w:r>
        <w:t xml:space="preserve">S = −k_B Σ pᵢ ln pᵢ — over the state space of centriolar PTM configurations (e.g., polyglutamylation levels per tubulin site), estimated from mass spectrometry.</w:t>
      </w:r>
    </w:p>
    <w:p>
      <w:pPr>
        <w:jc w:val="both"/>
        <w:pStyle w:val="FirstParagraph"/>
      </w:pPr>
      <w:r>
        <w:t xml:space="preserve">Until such measurements exist, the documents use</w:t>
      </w:r>
      <w:r>
        <w:t xml:space="preserve"> </w:t>
      </w:r>
      <w:r>
        <w:t xml:space="preserve">“structural disorder / candidate aging carrier”</w:t>
      </w:r>
      <w:r>
        <w:t xml:space="preserve"> </w:t>
      </w:r>
      <w:r>
        <w:t xml:space="preserve">— not entropy as a physical law.</w:t>
      </w:r>
      <w:r>
        <w:t xml:space="preserve"> </w:t>
      </w:r>
      <w:r>
        <w:rPr>
          <w:b/>
          <w:bCs/>
        </w:rPr>
        <w:t xml:space="preserve">Naming (per earlier review):</w:t>
      </w:r>
      <w:r>
        <w:t xml:space="preserve"> </w:t>
      </w:r>
      <w:r>
        <w:t xml:space="preserve">“Entropy Reset”</w:t>
      </w:r>
      <w:r>
        <w:t xml:space="preserve"> </w:t>
      </w:r>
      <w:r>
        <w:t xml:space="preserve">is retained only as the program/grants name; the publication title is deliberately neutral —</w:t>
      </w:r>
      <w:r>
        <w:t xml:space="preserve"> </w:t>
      </w:r>
      <w:r>
        <w:t xml:space="preserve">“Centriole Reset: Testing Structural Organelle Rejuvenation in Somatic Cells”</w:t>
      </w:r>
      <w:r>
        <w:t xml:space="preserve"> </w:t>
      </w:r>
      <w:r>
        <w:t xml:space="preserve">(as used throughout this document) — avoiding hype-driven terminology in the peer-reviewed version.</w:t>
      </w:r>
    </w:p>
    <w:p>
      <w:pPr>
        <w:jc w:val="both"/>
        <w:pStyle w:val="BodyText"/>
      </w:pPr>
      <w:r>
        <w:rPr>
          <w:b/>
          <w:bCs/>
        </w:rPr>
        <w:t xml:space="preserve">Biophysical terminology for IF 18+ (v7.9):</w:t>
      </w:r>
      <w:r>
        <w:t xml:space="preserve"> </w:t>
      </w:r>
      <w:r>
        <w:t xml:space="preserve">biophysics reviewers will object that a cell is an open, non-equilibrium system and cannot</w:t>
      </w:r>
      <w:r>
        <w:t xml:space="preserve"> </w:t>
      </w:r>
      <w:r>
        <w:t xml:space="preserve">“accumulate entropy”</w:t>
      </w:r>
      <w:r>
        <w:t xml:space="preserve"> </w:t>
      </w:r>
      <w:r>
        <w:t xml:space="preserve">in the thermodynamic sense. The publication text therefore adopts the assessor’s recommended reframing wherever a physical term would be scrutinized:</w:t>
      </w:r>
      <w:r>
        <w:t xml:space="preserve"> </w:t>
      </w:r>
      <w:r>
        <w:rPr>
          <w:b/>
          <w:bCs/>
        </w:rPr>
        <w:t xml:space="preserve">“Irreversible PTM Drift”</w:t>
      </w:r>
      <w:r>
        <w:t xml:space="preserve"> </w:t>
      </w:r>
      <w:r>
        <w:t xml:space="preserve">and</w:t>
      </w:r>
      <w:r>
        <w:t xml:space="preserve"> </w:t>
      </w:r>
      <w:r>
        <w:rPr>
          <w:b/>
          <w:bCs/>
        </w:rPr>
        <w:t xml:space="preserve">“Structural Hysteresis”</w:t>
      </w:r>
      <w:r>
        <w:t xml:space="preserve"> </w:t>
      </w:r>
      <w:r>
        <w:t xml:space="preserve">(state-dependent accumulation of terminal modifications — e.g., Δ2-tubulin, which cannot be re-tyrosinated, and asymmetric polyglutamylation — that is not erased by cytoplasmic turnover). Mapping:</w:t>
      </w:r>
      <w:r>
        <w:t xml:space="preserve"> </w:t>
      </w:r>
      <w:r>
        <w:t xml:space="preserve">“temporal entropy”</w:t>
      </w:r>
      <w:r>
        <w:t xml:space="preserve"> </w:t>
      </w:r>
      <w:r>
        <w:t xml:space="preserve">→</w:t>
      </w:r>
      <w:r>
        <w:t xml:space="preserve"> </w:t>
      </w:r>
      <w:r>
        <w:t xml:space="preserve">“irreversible PTM drift”</w:t>
      </w:r>
      <w:r>
        <w:t xml:space="preserve">;</w:t>
      </w:r>
      <w:r>
        <w:t xml:space="preserve"> </w:t>
      </w:r>
      <w:r>
        <w:t xml:space="preserve">“entropy-damage accumulation”</w:t>
      </w:r>
      <w:r>
        <w:t xml:space="preserve"> </w:t>
      </w:r>
      <w:r>
        <w:t xml:space="preserve">→</w:t>
      </w:r>
      <w:r>
        <w:t xml:space="preserve"> </w:t>
      </w:r>
      <w:r>
        <w:t xml:space="preserve">“structural hysteresis”</w:t>
      </w:r>
      <w:r>
        <w:t xml:space="preserve">; the formal S = −k_B Σ pᵢ ln pᵢ definition remains available in the technical appendix for readers who want the information-theoretic formalism, explicitly labeled as a model of state-space disorder, not thermodynamic entropy.</w:t>
      </w:r>
    </w:p>
    <w:p>
      <w:pPr>
        <w:pStyle w:val="Heading2"/>
      </w:pPr>
      <w:r>
        <w:t xml:space="preserve">12. Alternative Hypotheses (discriminated by design)</w:t>
      </w:r>
    </w:p>
    <w:tbl>
      <w:tblPr>
        <w:tblStyle w:val="Table"/>
        <w:tblW w:w="9026" w:type="dxa"/>
        <w:tblLayout w:type="fixed"/>
        <w:tblLook w:firstRow="1" w:lastRow="0" w:firstColumn="0" w:lastColumn="0" w:noHBand="0" w:noVBand="0" w:val="0020"/>
        <w:jc w:val="center"/>
      </w:tblPr>
      <w:tblGrid>
        <w:gridCol w:w="1066"/>
        <w:gridCol w:w="4112"/>
        <w:gridCol w:w="2741"/>
      </w:tblGrid>
      <w:tr>
        <w:trPr>
          <w:tblHeader w:val="on"/>
        </w:trPr>
        <w:tc>
          <w:tcPr/>
          <w:p>
            <w:pPr>
              <w:jc w:val="both"/>
              <w:pStyle w:val="Compact"/>
            </w:pPr>
            <w:r>
              <w:t xml:space="preserve">Model</w:t>
            </w:r>
          </w:p>
        </w:tc>
        <w:tc>
          <w:tcPr/>
          <w:p>
            <w:pPr>
              <w:jc w:val="both"/>
              <w:pStyle w:val="Compact"/>
            </w:pPr>
            <w:r>
              <w:t xml:space="preserve">Prediction under protocol</w:t>
            </w:r>
          </w:p>
        </w:tc>
        <w:tc>
          <w:tcPr/>
          <w:p>
            <w:pPr>
              <w:jc w:val="both"/>
              <w:pStyle w:val="Compact"/>
            </w:pPr>
            <w:r>
              <w:t xml:space="preserve">Discriminated by</w:t>
            </w:r>
          </w:p>
        </w:tc>
      </w:tr>
      <w:tr>
        <w:tc>
          <w:tcPr/>
          <w:p>
            <w:pPr>
              <w:jc w:val="both"/>
              <w:pStyle w:val="Compact"/>
            </w:pPr>
            <w:r>
              <w:t xml:space="preserve">Epigenetic (OSK-centered)</w:t>
            </w:r>
          </w:p>
        </w:tc>
        <w:tc>
          <w:tcPr/>
          <w:p>
            <w:pPr>
              <w:jc w:val="both"/>
              <w:pStyle w:val="Compact"/>
            </w:pPr>
            <w:r>
              <w:t xml:space="preserve">C improves, B ≈ A</w:t>
            </w:r>
          </w:p>
        </w:tc>
        <w:tc>
          <w:tcPr/>
          <w:p>
            <w:pPr>
              <w:jc w:val="both"/>
              <w:pStyle w:val="Compact"/>
            </w:pPr>
            <w:r>
              <w:t xml:space="preserve">B vs A</w:t>
            </w:r>
          </w:p>
        </w:tc>
      </w:tr>
      <w:tr>
        <w:tc>
          <w:tcPr/>
          <w:p>
            <w:pPr>
              <w:jc w:val="both"/>
              <w:pStyle w:val="Compact"/>
            </w:pPr>
            <w:r>
              <w:t xml:space="preserve">Mitochondrial</w:t>
            </w:r>
          </w:p>
        </w:tc>
        <w:tc>
          <w:tcPr/>
          <w:p>
            <w:pPr>
              <w:jc w:val="both"/>
              <w:pStyle w:val="Compact"/>
            </w:pPr>
            <w:r>
              <w:t xml:space="preserve">H7 intervention alone suffices</w:t>
            </w:r>
          </w:p>
        </w:tc>
        <w:tc>
          <w:tcPr/>
          <w:p>
            <w:pPr>
              <w:jc w:val="both"/>
              <w:pStyle w:val="Compact"/>
            </w:pPr>
            <w:r>
              <w:t xml:space="preserve">H7-alone control</w:t>
            </w:r>
          </w:p>
        </w:tc>
      </w:tr>
      <w:tr>
        <w:tc>
          <w:tcPr/>
          <w:p>
            <w:pPr>
              <w:jc w:val="both"/>
              <w:pStyle w:val="Compact"/>
            </w:pPr>
            <w:r>
              <w:t xml:space="preserve">Proteostatic</w:t>
            </w:r>
          </w:p>
        </w:tc>
        <w:tc>
          <w:tcPr/>
          <w:p>
            <w:pPr>
              <w:jc w:val="both"/>
              <w:pStyle w:val="Compact"/>
            </w:pPr>
            <w:r>
              <w:t xml:space="preserve">H4/H5 alone suffice</w:t>
            </w:r>
          </w:p>
        </w:tc>
        <w:tc>
          <w:tcPr/>
          <w:p>
            <w:pPr>
              <w:jc w:val="both"/>
              <w:pStyle w:val="Compact"/>
            </w:pPr>
            <w:r>
              <w:t xml:space="preserve">H4/H5-alone controls</w:t>
            </w:r>
          </w:p>
        </w:tc>
      </w:tr>
      <w:tr>
        <w:tc>
          <w:tcPr/>
          <w:p>
            <w:pPr>
              <w:jc w:val="both"/>
              <w:pStyle w:val="Compact"/>
            </w:pPr>
            <w:r>
              <w:t xml:space="preserve">Telomeric</w:t>
            </w:r>
          </w:p>
        </w:tc>
        <w:tc>
          <w:tcPr/>
          <w:p>
            <w:pPr>
              <w:jc w:val="both"/>
              <w:pStyle w:val="Compact"/>
            </w:pPr>
            <w:r>
              <w:t xml:space="preserve">hTERT alone suffices</w:t>
            </w:r>
          </w:p>
        </w:tc>
        <w:tc>
          <w:tcPr/>
          <w:p>
            <w:pPr>
              <w:jc w:val="both"/>
              <w:pStyle w:val="Compact"/>
            </w:pPr>
            <w:r>
              <w:t xml:space="preserve">H2-alone control</w:t>
            </w:r>
          </w:p>
        </w:tc>
      </w:tr>
      <w:tr>
        <w:tc>
          <w:tcPr/>
          <w:p>
            <w:pPr>
              <w:jc w:val="both"/>
              <w:pStyle w:val="Compact"/>
            </w:pPr>
            <w:r>
              <w:t xml:space="preserve">Stress-selection artifact</w:t>
            </w:r>
          </w:p>
        </w:tc>
        <w:tc>
          <w:tcPr/>
          <w:p>
            <w:pPr>
              <w:jc w:val="both"/>
              <w:pStyle w:val="Compact"/>
            </w:pPr>
            <w:r>
              <w:t xml:space="preserve">Perturbation arm (failed reset) shows equal effect</w:t>
            </w:r>
          </w:p>
        </w:tc>
        <w:tc>
          <w:tcPr/>
          <w:p>
            <w:pPr>
              <w:jc w:val="both"/>
              <w:pStyle w:val="Compact"/>
            </w:pPr>
            <w:r>
              <w:t xml:space="preserve">§6.2 arm</w:t>
            </w:r>
          </w:p>
        </w:tc>
      </w:tr>
      <w:tr>
        <w:tc>
          <w:tcPr/>
          <w:p>
            <w:pPr>
              <w:jc w:val="both"/>
              <w:pStyle w:val="Compact"/>
            </w:pPr>
            <w:r>
              <w:rPr>
                <w:sz w:val="18"/>
                <w:szCs w:val="18"/>
                <w:b/>
                <w:bCs/>
              </w:rPr>
              <w:t xml:space="preserve">CEDAR (centriolar)</w:t>
            </w:r>
          </w:p>
        </w:tc>
        <w:tc>
          <w:tcPr/>
          <w:p>
            <w:pPr>
              <w:jc w:val="both"/>
              <w:pStyle w:val="Compact"/>
            </w:pPr>
            <w:r>
              <w:t xml:space="preserve">B improves independently of OSK; age transfers with organelle</w:t>
            </w:r>
          </w:p>
        </w:tc>
        <w:tc>
          <w:tcPr/>
          <w:p>
            <w:pPr>
              <w:jc w:val="both"/>
              <w:pStyle w:val="Compact"/>
            </w:pPr>
            <w:r>
              <w:t xml:space="preserve">Arm B + transplantation arm</w:t>
            </w:r>
          </w:p>
        </w:tc>
      </w:tr>
    </w:tbl>
    <w:p>
      <w:pPr>
        <w:jc w:val="both"/>
        <w:pStyle w:val="BodyText"/>
      </w:pPr>
      <w:r>
        <w:rPr>
          <w:b/>
          <w:bCs/>
        </w:rPr>
        <w:t xml:space="preserve">Transplantation arm (crossing):</w:t>
      </w:r>
      <w:r>
        <w:t xml:space="preserve"> </w:t>
      </w:r>
      <w:r>
        <w:t xml:space="preserve">young→old and old→young centriole transfer; if age transfers with the organelle in both directions — a Nature/Cell-level finding.</w:t>
      </w:r>
    </w:p>
    <w:p>
      <w:pPr>
        <w:jc w:val="both"/>
        <w:pStyle w:val="BodyText"/>
      </w:pPr>
      <w:r>
        <w:rPr>
          <w:b/>
          <w:bCs/>
        </w:rPr>
        <w:t xml:space="preserve">Cytoplasmic inheritance test (v7.7):</w:t>
      </w:r>
      <w:r>
        <w:t xml:space="preserve"> </w:t>
      </w:r>
      <w:r>
        <w:t xml:space="preserve">the strongest control for</w:t>
      </w:r>
      <w:r>
        <w:t xml:space="preserve"> </w:t>
      </w:r>
      <w:r>
        <w:t xml:space="preserve">“the centriole is only a mirror of the cytoplasm”</w:t>
      </w:r>
      <w:r>
        <w:t xml:space="preserve">:</w:t>
      </w:r>
      <w:r>
        <w:t xml:space="preserve"> </w:t>
      </w:r>
      <w:r>
        <w:rPr>
          <w:b/>
          <w:bCs/>
        </w:rPr>
        <w:t xml:space="preserve">cytoplast–karyoplast fusion</w:t>
      </w:r>
      <w:r>
        <w:t xml:space="preserve"> </w:t>
      </w:r>
      <w:r>
        <w:t xml:space="preserve">transplants a freshly reset (young, SILAC-verified) centriole into the cytoplasm of a non-reset old cell (and vice versa). Predictions: (a) if the young centriole is</w:t>
      </w:r>
      <w:r>
        <w:t xml:space="preserve"> </w:t>
      </w:r>
      <w:r>
        <w:t xml:space="preserve">“corrupted”</w:t>
      </w:r>
      <w:r>
        <w:t xml:space="preserve"> </w:t>
      </w:r>
      <w:r>
        <w:t xml:space="preserve">within 2 cell cycles by old cytoplasm (PTM audit: GT335, Δ2, carbonyl), the centriole is a passive mirror — CEDAR’s organelle-autonomy claim is falsified and the program reframes as cytoplasmic/PTM-environment intervention; (b) if the young centriole retains its youthful PTM state in old cytoplasm and restores ciliogenesis, the organelle is an autonomous carrier — CEDAR supported. Either outcome is a publishable causal test; the experiment is pre-registered as a decisive discriminator (§4.2a).</w:t>
      </w:r>
    </w:p>
    <w:p>
      <w:pPr>
        <w:jc w:val="both"/>
        <w:pStyle w:val="BodyText"/>
      </w:pPr>
      <w:r>
        <w:rPr>
          <w:b/>
          <w:bCs/>
        </w:rPr>
        <w:t xml:space="preserve">Killer-experiment specification (v7.3):</w:t>
      </w:r>
      <w:r>
        <w:t xml:space="preserve"> </w:t>
      </w:r>
      <w:r>
        <w:t xml:space="preserve">the strongest causal probe —</w:t>
      </w:r>
      <w:r>
        <w:t xml:space="preserve"> </w:t>
      </w:r>
      <w:r>
        <w:rPr>
          <w:b/>
          <w:bCs/>
        </w:rPr>
        <w:t xml:space="preserve">artificial centriole aging in an OSK-rejuvenated cell</w:t>
      </w:r>
      <w:r>
        <w:t xml:space="preserve"> </w:t>
      </w:r>
      <w:r>
        <w:t xml:space="preserve">— is added to the transplantation arm: (1) rejuvenate a cell with OSK (epigenetically young, old centriole retained); (2) artificially age its centriole by</w:t>
      </w:r>
      <w:r>
        <w:t xml:space="preserve"> </w:t>
      </w:r>
      <w:r>
        <w:rPr>
          <w:b/>
          <w:bCs/>
        </w:rPr>
        <w:t xml:space="preserve">TTLL5 overexpression</w:t>
      </w:r>
      <w:r>
        <w:t xml:space="preserve"> </w:t>
      </w:r>
      <w:r>
        <w:t xml:space="preserve">(excess polyglutamylation — the Robichaud 2024 KIFC3/FBF1/PML seed) or PLK4-driven over-elongation; (3)</w:t>
      </w:r>
      <w:r>
        <w:t xml:space="preserve"> </w:t>
      </w:r>
      <w:r>
        <w:rPr>
          <w:b/>
          <w:bCs/>
        </w:rPr>
        <w:t xml:space="preserve">prediction:</w:t>
      </w:r>
      <w:r>
        <w:t xml:space="preserve"> </w:t>
      </w:r>
      <w:r>
        <w:t xml:space="preserve">if the cell returns to senescence</w:t>
      </w:r>
      <w:r>
        <w:t xml:space="preserve"> </w:t>
      </w:r>
      <w:r>
        <w:rPr>
          <w:i/>
          <w:iCs/>
        </w:rPr>
        <w:t xml:space="preserve">despite</w:t>
      </w:r>
      <w:r>
        <w:t xml:space="preserve"> </w:t>
      </w:r>
      <w:r>
        <w:t xml:space="preserve">OSK rejuvenation, structural centriole state overrides epigenetic age — the definitive proof that the centriole is a master regulator (and the OSK paradox resolved: OSK acts</w:t>
      </w:r>
      <w:r>
        <w:t xml:space="preserve"> </w:t>
      </w:r>
      <w:r>
        <w:rPr>
          <w:i/>
          <w:iCs/>
        </w:rPr>
        <w:t xml:space="preserve">below</w:t>
      </w:r>
      <w:r>
        <w:t xml:space="preserve"> </w:t>
      </w:r>
      <w:r>
        <w:t xml:space="preserve">the organelle, transiently). Controls: sham injection, TTLL5-inactive mutant, non-ciliary tubulin modification.</w:t>
      </w:r>
      <w:r>
        <w:t xml:space="preserve"> </w:t>
      </w:r>
      <w:r>
        <w:rPr>
          <w:b/>
          <w:bCs/>
        </w:rPr>
        <w:t xml:space="preserve">KIFC3-discrimination arm (; upgraded to mandatory Phase 1 control in v8.3):</w:t>
      </w:r>
      <w:r>
        <w:t xml:space="preserve"> </w:t>
      </w:r>
      <w:r>
        <w:t xml:space="preserve">genetic</w:t>
      </w:r>
      <w:r>
        <w:t xml:space="preserve"> </w:t>
      </w:r>
      <w:r>
        <w:rPr>
          <w:b/>
          <w:bCs/>
        </w:rPr>
        <w:t xml:space="preserve">KIFC3 knockdown/knockout</w:t>
      </w:r>
      <w:r>
        <w:t xml:space="preserve"> </w:t>
      </w:r>
      <w:r>
        <w:t xml:space="preserve">(no selective KIFC3 small-molecule inhibitors exist — literature verified 2026-08-11). In v8.3 the KIFC3-KD condition is</w:t>
      </w:r>
      <w:r>
        <w:t xml:space="preserve"> </w:t>
      </w:r>
      <w:r>
        <w:rPr>
          <w:b/>
          <w:bCs/>
        </w:rPr>
        <w:t xml:space="preserve">elevated from an optional Phase-3 discrimination arm to a mandatory Phase 1 control branch</w:t>
      </w:r>
      <w:r>
        <w:t xml:space="preserve">: if KIFC3 loss fully abolishes the reset effect, the centriole acts as a</w:t>
      </w:r>
      <w:r>
        <w:t xml:space="preserve"> </w:t>
      </w:r>
      <w:r>
        <w:rPr>
          <w:i/>
          <w:iCs/>
        </w:rPr>
        <w:t xml:space="preserve">mechanical stress antenna</w:t>
      </w:r>
      <w:r>
        <w:t xml:space="preserve"> </w:t>
      </w:r>
      <w:r>
        <w:t xml:space="preserve">(KIFC3 scaffold route, Robichaud 2024) rather than an autonomous clock — CEDAR’s state-lock claim is reframed (still publishable, but the theory’s name/mechanism must change, (critical assessment)); if the reset effect survives KIFC3-KD, the organelle has autonomy beyond the scaffold route. Either outcome is interpretable and pre-registered; the arm is not optional.</w:t>
      </w:r>
    </w:p>
    <w:p>
      <w:pPr>
        <w:jc w:val="both"/>
        <w:pStyle w:val="BodyText"/>
      </w:pPr>
      <w:r>
        <w:rPr>
          <w:b/>
          <w:bCs/>
        </w:rPr>
        <w:t xml:space="preserve">PIDDosome optogenetic arm (Killer 2.1):</w:t>
      </w:r>
      <w:r>
        <w:t xml:space="preserve"> </w:t>
      </w:r>
      <w:r>
        <w:t xml:space="preserve">optionally, instead of (or in addition to) TTLL5 aging, use</w:t>
      </w:r>
      <w:r>
        <w:t xml:space="preserve"> </w:t>
      </w:r>
      <w:r>
        <w:rPr>
          <w:b/>
          <w:bCs/>
        </w:rPr>
        <w:t xml:space="preserve">optogenetic dimerization to recruit PIDD1 to the distal appendages of a de novo centriole</w:t>
      </w:r>
      <w:r>
        <w:t xml:space="preserve"> </w:t>
      </w:r>
      <w:r>
        <w:t xml:space="preserve">— if this alone induces senescence, the</w:t>
      </w:r>
      <w:r>
        <w:t xml:space="preserve"> </w:t>
      </w:r>
      <w:r>
        <w:t xml:space="preserve">“age”</w:t>
      </w:r>
      <w:r>
        <w:t xml:space="preserve"> </w:t>
      </w:r>
      <w:r>
        <w:t xml:space="preserve">of the centriole is encoded in its distal architecture (PIDDosome pathway, Fava 2017), not only in its PTM code; a clean spatial-causality test complementing the TTLL5 arm.</w:t>
      </w:r>
    </w:p>
    <w:p>
      <w:pPr>
        <w:jc w:val="both"/>
        <w:pStyle w:val="BodyText"/>
      </w:pPr>
      <w:r>
        <w:rPr>
          <w:b/>
          <w:bCs/>
        </w:rPr>
        <w:t xml:space="preserve">OSK-paradox resolution (v7.3):</w:t>
      </w:r>
      <w:r>
        <w:t xml:space="preserve"> </w:t>
      </w:r>
      <w:r>
        <w:t xml:space="preserve">the assessor’s paradox —</w:t>
      </w:r>
      <w:r>
        <w:t xml:space="preserve"> </w:t>
      </w:r>
      <w:r>
        <w:t xml:space="preserve">“OSK rejuvenates without replacing centrioles, so the centriole cannot be the barrier”</w:t>
      </w:r>
      <w:r>
        <w:t xml:space="preserve"> </w:t>
      </w:r>
      <w:r>
        <w:t xml:space="preserve">— is addressed explicitly and pre-registered: (1) OSK acts</w:t>
      </w:r>
      <w:r>
        <w:t xml:space="preserve"> </w:t>
      </w:r>
      <w:r>
        <w:rPr>
          <w:b/>
          <w:bCs/>
        </w:rPr>
        <w:t xml:space="preserve">below the organelle level</w:t>
      </w:r>
      <w:r>
        <w:t xml:space="preserve"> </w:t>
      </w:r>
      <w:r>
        <w:t xml:space="preserve">(epigenome, proteostasis pool), leaving structural cilium/centrosome defects intact (cilium defects persist after reprogramming); (2) OSK effects on organellar structure are</w:t>
      </w:r>
      <w:r>
        <w:t xml:space="preserve"> </w:t>
      </w:r>
      <w:r>
        <w:rPr>
          <w:b/>
          <w:bCs/>
        </w:rPr>
        <w:t xml:space="preserve">transient</w:t>
      </w:r>
      <w:r>
        <w:t xml:space="preserve"> </w:t>
      </w:r>
      <w:r>
        <w:t xml:space="preserve">— resolution of the paradox requires</w:t>
      </w:r>
      <w:r>
        <w:t xml:space="preserve"> </w:t>
      </w:r>
      <w:r>
        <w:rPr>
          <w:b/>
          <w:bCs/>
        </w:rPr>
        <w:t xml:space="preserve">long-term passage (≥20 passages)</w:t>
      </w:r>
      <w:r>
        <w:t xml:space="preserve"> </w:t>
      </w:r>
      <w:r>
        <w:t xml:space="preserve">comparing OSK-only vs. reset vs. both, with the prediction that OSK-only CRCS gains decay while reset gains persist (stability is the discriminating variable — this is already the</w:t>
      </w:r>
      <w:r>
        <w:t xml:space="preserve"> </w:t>
      </w:r>
      <w:r>
        <w:t xml:space="preserve">“no rollback”</w:t>
      </w:r>
      <w:r>
        <w:t xml:space="preserve"> </w:t>
      </w:r>
      <w:r>
        <w:t xml:space="preserve">falsification in §4.2a); (3) the killer-experiment arm above tests the direction of causality directly.</w:t>
      </w:r>
    </w:p>
    <w:p>
      <w:pPr>
        <w:pStyle w:val="Heading2"/>
      </w:pPr>
      <w:r>
        <w:t xml:space="preserve">13. Timeline &amp; Budget (realistic, phased — peer-review response)</w:t>
      </w:r>
    </w:p>
    <w:p>
      <w:pPr>
        <w:jc w:val="both"/>
        <w:pStyle w:val="FirstParagraph"/>
      </w:pPr>
      <w:r>
        <w:t xml:space="preserve">Reviewer-correct estimate: the full scope (CLEM/cryo-ET, WGS, 2×2 + transplantation) cannot be delivered in $205K / 9–12 months. Budget is therefore</w:t>
      </w:r>
      <w:r>
        <w:t xml:space="preserve"> </w:t>
      </w:r>
      <w:r>
        <w:rPr>
          <w:b/>
          <w:bCs/>
        </w:rPr>
        <w:t xml:space="preserve">phased</w:t>
      </w:r>
      <w:r>
        <w:t xml:space="preserve">, with go/no-go gates:</w:t>
      </w:r>
    </w:p>
    <w:tbl>
      <w:tblPr>
        <w:tblStyle w:val="Table"/>
        <w:tblW w:w="9026" w:type="dxa"/>
        <w:tblLayout w:type="fixed"/>
        <w:tblLook w:firstRow="1" w:lastRow="0" w:firstColumn="0" w:lastColumn="0" w:noHBand="0" w:noVBand="0" w:val="0020"/>
        <w:jc w:val="center"/>
      </w:tblPr>
      <w:tblGrid>
        <w:gridCol w:w="1320"/>
        <w:gridCol w:w="2376"/>
        <w:gridCol w:w="1320"/>
        <w:gridCol w:w="1320"/>
        <w:gridCol w:w="1584"/>
      </w:tblGrid>
      <w:tr>
        <w:trPr>
          <w:tblHeader w:val="on"/>
        </w:trPr>
        <w:tc>
          <w:tcPr/>
          <w:p>
            <w:pPr>
              <w:jc w:val="both"/>
              <w:pStyle w:val="Compact"/>
            </w:pPr>
            <w:r>
              <w:t xml:space="preserve">Phase</w:t>
            </w:r>
          </w:p>
        </w:tc>
        <w:tc>
          <w:tcPr/>
          <w:p>
            <w:pPr>
              <w:jc w:val="both"/>
              <w:pStyle w:val="Compact"/>
            </w:pPr>
            <w:r>
              <w:t xml:space="preserve">Content</w:t>
            </w:r>
          </w:p>
        </w:tc>
        <w:tc>
          <w:tcPr/>
          <w:p>
            <w:pPr>
              <w:jc w:val="both"/>
              <w:pStyle w:val="Compact"/>
            </w:pPr>
            <w:r>
              <w:t xml:space="preserve">Duration</w:t>
            </w:r>
          </w:p>
        </w:tc>
        <w:tc>
          <w:tcPr/>
          <w:p>
            <w:pPr>
              <w:jc w:val="both"/>
              <w:pStyle w:val="Compact"/>
            </w:pPr>
            <w:r>
              <w:t xml:space="preserve">Budget</w:t>
            </w:r>
          </w:p>
        </w:tc>
        <w:tc>
          <w:tcPr/>
          <w:p>
            <w:pPr>
              <w:jc w:val="both"/>
              <w:pStyle w:val="Compact"/>
            </w:pPr>
            <w:r>
              <w:t xml:space="preserve">Gate</w:t>
            </w:r>
          </w:p>
        </w:tc>
      </w:tr>
      <w:tr>
        <w:tc>
          <w:tcPr/>
          <w:p>
            <w:pPr>
              <w:jc w:val="both"/>
              <w:pStyle w:val="Compact"/>
            </w:pPr>
            <w:r>
              <w:rPr>
                <w:sz w:val="18"/>
                <w:szCs w:val="18"/>
                <w:b/>
                <w:bCs/>
              </w:rPr>
              <w:t xml:space="preserve">1 — Feasibility (pilot)</w:t>
            </w:r>
          </w:p>
        </w:tc>
        <w:tc>
          <w:tcPr/>
          <w:p>
            <w:pPr>
              <w:jc w:val="both"/>
              <w:pStyle w:val="Compact"/>
            </w:pPr>
            <w:r>
              <w:t xml:space="preserve">Elimination + recovery in fibroblasts; basic de novo proof (A, B); CRCS pilot (N=3/arm)</w:t>
            </w:r>
          </w:p>
        </w:tc>
        <w:tc>
          <w:tcPr/>
          <w:p>
            <w:pPr>
              <w:jc w:val="both"/>
              <w:pStyle w:val="Compact"/>
            </w:pPr>
            <w:r>
              <w:t xml:space="preserve">12 months</w:t>
            </w:r>
          </w:p>
        </w:tc>
        <w:tc>
          <w:tcPr/>
          <w:p>
            <w:pPr>
              <w:jc w:val="both"/>
              <w:pStyle w:val="Compact"/>
            </w:pPr>
            <w:r>
              <w:rPr>
                <w:b/>
                <w:bCs/>
              </w:rPr>
              <w:t xml:space="preserve">$350K</w:t>
            </w:r>
          </w:p>
        </w:tc>
        <w:tc>
          <w:tcPr/>
          <w:p>
            <w:pPr>
              <w:jc w:val="both"/>
              <w:pStyle w:val="Compact"/>
            </w:pPr>
            <w:r>
              <w:t xml:space="preserve">De novo origin provable (A+B); pilot effect ≥ 0.1 SD.</w:t>
            </w:r>
            <w:r>
              <w:t xml:space="preserve"> </w:t>
            </w:r>
            <w:r>
              <w:rPr>
                <w:b/>
                <w:bCs/>
              </w:rPr>
              <w:t xml:space="preserve">Pre-specified alternative interpretation:</w:t>
            </w:r>
            <w:r>
              <w:t xml:space="preserve"> </w:t>
            </w:r>
            <w:r>
              <w:t xml:space="preserve">if recovery fails because of p53-dependent arrest (Wong 2015, Uetake 2007), this is a</w:t>
            </w:r>
            <w:r>
              <w:t xml:space="preserve"> </w:t>
            </w:r>
            <w:r>
              <w:rPr>
                <w:b/>
                <w:bCs/>
              </w:rPr>
              <w:t xml:space="preserve">technical barrier, not a falsification of CEDAR</w:t>
            </w:r>
            <w:r>
              <w:t xml:space="preserve"> </w:t>
            </w:r>
            <w:r>
              <w:t xml:space="preserve">— the gate then tests p53-override variants in order (v7.0:</w:t>
            </w:r>
            <w:r>
              <w:t xml:space="preserve"> </w:t>
            </w:r>
            <w:r>
              <w:rPr>
                <w:b/>
                <w:bCs/>
              </w:rPr>
              <w:t xml:space="preserve">selective USP25/28 inhibitor</w:t>
            </w:r>
            <w:r>
              <w:t xml:space="preserve"> </w:t>
            </w:r>
            <w:r>
              <w:t xml:space="preserve">[primary, preserves p53 competence — Bratt 2025; Hernandez-Olmos 2026] → pifithrin-α → p53-KD → p21-KD) before any hypothesis-level verdict</w:t>
            </w:r>
          </w:p>
        </w:tc>
      </w:tr>
      <w:tr>
        <w:tc>
          <w:tcPr/>
          <w:p>
            <w:pPr>
              <w:jc w:val="both"/>
              <w:pStyle w:val="Compact"/>
            </w:pPr>
            <w:r>
              <w:rPr>
                <w:b/>
                <w:bCs/>
              </w:rPr>
              <w:t xml:space="preserve">0 — Molecular-carrier screen (</w:t>
            </w:r>
            <w:r>
              <w:rPr>
                <w:b/>
                <w:bCs/>
              </w:rPr>
              <w:t xml:space="preserve">“what does the centriole carry?”</w:t>
            </w:r>
            <w:r>
              <w:rPr>
                <w:b/>
                <w:bCs/>
              </w:rPr>
              <w:t xml:space="preserve">)</w:t>
            </w:r>
          </w:p>
        </w:tc>
        <w:tc>
          <w:tcPr/>
          <w:p>
            <w:pPr>
              <w:jc w:val="both"/>
              <w:pStyle w:val="Compact"/>
            </w:pPr>
            <w:r>
              <w:rPr>
                <w:b/>
                <w:bCs/>
              </w:rPr>
              <w:t xml:space="preserve">Mass spectrometry of isolated centrioles from early- vs. late-passage normal fibroblasts</w:t>
            </w:r>
            <w:r>
              <w:t xml:space="preserve"> </w:t>
            </w:r>
            <w:r>
              <w:t xml:space="preserve">(and old vs. young donors): identify which PTMs (polyGlu chain length, Δ2-tubulin, acetylation, polyglycylation, phosphorylation) actually accumulate with passage age and distinguish old from new centrioles — the empirical</w:t>
            </w:r>
            <w:r>
              <w:t xml:space="preserve"> </w:t>
            </w:r>
            <w:r>
              <w:t xml:space="preserve">“molecular carrier”</w:t>
            </w:r>
            <w:r>
              <w:t xml:space="preserve"> </w:t>
            </w:r>
            <w:r>
              <w:t xml:space="preserve">of the age claim; plus a</w:t>
            </w:r>
            <w:r>
              <w:t xml:space="preserve"> </w:t>
            </w:r>
            <w:r>
              <w:rPr>
                <w:b/>
                <w:bCs/>
              </w:rPr>
              <w:t xml:space="preserve">ciliary-signaling→epigenome pilot</w:t>
            </w:r>
            <w:r>
              <w:t xml:space="preserve"> </w:t>
            </w:r>
            <w:r>
              <w:t xml:space="preserve">(GLI1/2, TET2, PRC2 readouts after cilium manipulation) testing the H3 mechanism directionally before the full factorial</w:t>
            </w:r>
          </w:p>
        </w:tc>
        <w:tc>
          <w:tcPr/>
          <w:p>
            <w:pPr>
              <w:jc w:val="both"/>
              <w:pStyle w:val="Compact"/>
            </w:pPr>
            <w:r>
              <w:t xml:space="preserve">4 months</w:t>
            </w:r>
          </w:p>
        </w:tc>
        <w:tc>
          <w:tcPr/>
          <w:p>
            <w:pPr>
              <w:jc w:val="both"/>
              <w:pStyle w:val="Compact"/>
            </w:pPr>
            <w:r>
              <w:rPr>
                <w:b/>
                <w:bCs/>
              </w:rPr>
              <w:t xml:space="preserve">$120K</w:t>
            </w:r>
          </w:p>
        </w:tc>
        <w:tc>
          <w:tcPr/>
          <w:p>
            <w:pPr>
              <w:jc w:val="both"/>
              <w:pStyle w:val="Compact"/>
            </w:pPr>
            <w:r>
              <w:t xml:space="preserve">≥1 PTM species showing monotonic passage-dependent accumulation; ciliary→epigenome pilot shows a measurable signal in the predicted direction; if NO PTM accumulates, the age-carrier claim is reframed or the program redesigned (pre-registered decision point, not post-hoc)</w:t>
            </w:r>
          </w:p>
        </w:tc>
      </w:tr>
      <w:tr>
        <w:tc>
          <w:tcPr/>
          <w:p>
            <w:pPr>
              <w:jc w:val="both"/>
              <w:pStyle w:val="Compact"/>
            </w:pPr>
            <w:r>
              <w:rPr>
                <w:b/>
                <w:bCs/>
              </w:rPr>
              <w:t xml:space="preserve">2 — Confirmatory</w:t>
            </w:r>
          </w:p>
        </w:tc>
        <w:tc>
          <w:tcPr/>
          <w:p>
            <w:pPr>
              <w:jc w:val="both"/>
              <w:pStyle w:val="Compact"/>
            </w:pPr>
            <w:r>
              <w:t xml:space="preserve">2×2 factorial + perturbation arm; full CRCS (N=10/arm × 3 lines); secondary readouts; multi-omics</w:t>
            </w:r>
          </w:p>
        </w:tc>
        <w:tc>
          <w:tcPr/>
          <w:p>
            <w:pPr>
              <w:jc w:val="both"/>
              <w:pStyle w:val="Compact"/>
            </w:pPr>
            <w:r>
              <w:t xml:space="preserve">18 months</w:t>
            </w:r>
          </w:p>
        </w:tc>
        <w:tc>
          <w:tcPr/>
          <w:p>
            <w:pPr>
              <w:jc w:val="both"/>
              <w:pStyle w:val="Compact"/>
            </w:pPr>
            <w:r>
              <w:rPr>
                <w:b/>
                <w:bCs/>
              </w:rPr>
              <w:t xml:space="preserve">$600K</w:t>
            </w:r>
          </w:p>
        </w:tc>
        <w:tc>
          <w:tcPr/>
          <w:p>
            <w:pPr>
              <w:jc w:val="both"/>
              <w:pStyle w:val="Compact"/>
            </w:pPr>
            <w:r>
              <w:t xml:space="preserve">Primary endpoint met; safety gate green</w:t>
            </w:r>
          </w:p>
        </w:tc>
      </w:tr>
      <w:tr>
        <w:tc>
          <w:tcPr/>
          <w:p>
            <w:pPr>
              <w:jc w:val="both"/>
              <w:pStyle w:val="Compact"/>
            </w:pPr>
            <w:r>
              <w:rPr>
                <w:b/>
                <w:bCs/>
              </w:rPr>
              <w:t xml:space="preserve">3 — Deep proof &amp; transplantation</w:t>
            </w:r>
          </w:p>
        </w:tc>
        <w:tc>
          <w:tcPr/>
          <w:p>
            <w:pPr>
              <w:jc w:val="both"/>
              <w:pStyle w:val="Compact"/>
            </w:pPr>
            <w:r>
              <w:t xml:space="preserve">Proof C–D (CLEM/cryo-ET on selected cells — not all); transplantation arm; in vivo planning</w:t>
            </w:r>
          </w:p>
        </w:tc>
        <w:tc>
          <w:tcPr/>
          <w:p>
            <w:pPr>
              <w:jc w:val="both"/>
              <w:pStyle w:val="Compact"/>
            </w:pPr>
            <w:r>
              <w:t xml:space="preserve">18 months</w:t>
            </w:r>
          </w:p>
        </w:tc>
        <w:tc>
          <w:tcPr/>
          <w:p>
            <w:pPr>
              <w:jc w:val="both"/>
              <w:pStyle w:val="Compact"/>
            </w:pPr>
            <w:r>
              <w:rPr>
                <w:b/>
                <w:bCs/>
              </w:rPr>
              <w:t xml:space="preserve">$550K</w:t>
            </w:r>
          </w:p>
        </w:tc>
        <w:tc>
          <w:tcPr/>
          <w:p>
            <w:pPr>
              <w:jc w:val="both"/>
              <w:pStyle w:val="Compact"/>
            </w:pPr>
            <w:r>
              <w:t xml:space="preserve">Phase 2 gates met</w:t>
            </w:r>
          </w:p>
        </w:tc>
      </w:tr>
      <w:tr>
        <w:tc>
          <w:tcPr/>
          <w:p>
            <w:pPr>
              <w:jc w:val="both"/>
              <w:pStyle w:val="Compact"/>
            </w:pPr>
            <w:r>
              <w:rPr>
                <w:b/>
                <w:bCs/>
              </w:rPr>
              <w:t xml:space="preserve">Total</w:t>
            </w:r>
          </w:p>
        </w:tc>
        <w:tc>
          <w:tcPr/>
          <w:p>
            <w:pPr>
              <w:jc w:val="both"/>
              <w:pStyle w:val="Compact"/>
            </w:pPr>
          </w:p>
        </w:tc>
        <w:tc>
          <w:tcPr/>
          <w:p>
            <w:pPr>
              <w:jc w:val="both"/>
              <w:pStyle w:val="Compact"/>
            </w:pPr>
            <w:r>
              <w:rPr>
                <w:b/>
                <w:bCs/>
              </w:rPr>
              <w:t xml:space="preserve">48 months</w:t>
            </w:r>
          </w:p>
        </w:tc>
        <w:tc>
          <w:tcPr/>
          <w:p>
            <w:pPr>
              <w:jc w:val="both"/>
              <w:pStyle w:val="Compact"/>
            </w:pPr>
            <w:r>
              <w:rPr>
                <w:b/>
                <w:bCs/>
              </w:rPr>
              <w:t xml:space="preserve">~$1.5M</w:t>
            </w:r>
          </w:p>
        </w:tc>
        <w:tc>
          <w:tcPr/>
          <w:p>
            <w:pPr>
              <w:jc w:val="both"/>
              <w:pStyle w:val="Compact"/>
            </w:pPr>
          </w:p>
        </w:tc>
      </w:tr>
    </w:tbl>
    <w:p>
      <w:pPr>
        <w:jc w:val="both"/>
        <w:pStyle w:val="BodyText"/>
      </w:pPr>
      <w:r>
        <w:t xml:space="preserve">CLEM/cryo-ET is applied</w:t>
      </w:r>
      <w:r>
        <w:t xml:space="preserve"> </w:t>
      </w:r>
      <w:r>
        <w:rPr>
          <w:b/>
          <w:bCs/>
        </w:rPr>
        <w:t xml:space="preserve">selectively</w:t>
      </w:r>
      <w:r>
        <w:t xml:space="preserve"> </w:t>
      </w:r>
      <w:r>
        <w:t xml:space="preserve">(proof of concept on n = 20–30 cells per condition, not full cohort) to contain cost; WGS/scDNA-seq is restricted to Phase 2 arms.</w:t>
      </w:r>
      <w:r>
        <w:t xml:space="preserve"> </w:t>
      </w:r>
      <w:r>
        <w:rPr>
          <w:b/>
          <w:bCs/>
        </w:rPr>
        <w:t xml:space="preserve">Costing basis (evidence-based response):</w:t>
      </w:r>
      <w:r>
        <w:t xml:space="preserve"> </w:t>
      </w:r>
      <w:r>
        <w:t xml:space="preserve">academic cryo-ET facility rates ≈ $800–2,000 per grid including segmentation (2025–26 typical); WGS budget is quoted at 30× coverage, 1 sample pooled per arm × 3 donors × 4 arms = 12 samples (≈ $1,200/sample at academic rates) — both line items to be replaced by written facility quotes before submission. This budget is consistent with comparable published pipelines and replaces the unrealistic single-phase estimate. For ERC StG, Phases 1–2 ($950K) match the standard envelope; Phase 3 is a follow-up (ERC PoC / partner funding).</w:t>
      </w:r>
    </w:p>
    <w:p>
      <w:pPr>
        <w:pStyle w:val="Heading2"/>
      </w:pPr>
      <w:r>
        <w:t xml:space="preserve">14. Novelty Statement (per independent verification)</w:t>
      </w:r>
    </w:p>
    <w:p>
      <w:pPr>
        <w:jc w:val="both"/>
        <w:pStyle w:val="BlockText"/>
      </w:pPr>
      <w:r>
        <w:t xml:space="preserve">The novelty is not</w:t>
      </w:r>
      <w:r>
        <w:t xml:space="preserve"> </w:t>
      </w:r>
      <w:r>
        <w:t xml:space="preserve">“the centriole causes aging”</w:t>
      </w:r>
      <w:r>
        <w:t xml:space="preserve"> </w:t>
      </w:r>
      <w:r>
        <w:t xml:space="preserve">(too strong) but:</w:t>
      </w:r>
      <w:r>
        <w:t xml:space="preserve"> </w:t>
      </w:r>
      <w:r>
        <w:rPr>
          <w:b/>
          <w:bCs/>
        </w:rPr>
        <w:t xml:space="preserve">a previously untested organelle-reset paradigm may complement epigenetic reprogramming by replacing a persistent structural component that is not directly erased by transcription-factor-mediated reprogramming</w:t>
      </w:r>
      <w:r>
        <w:t xml:space="preserve"> </w:t>
      </w:r>
      <w:r>
        <w:t xml:space="preserve">— evaluated with pre-registered endpoints, four de novo-origin proofs, and explicit dialogue with the two closest prior experiments (Wong 2015; Renzova 2018).</w:t>
      </w:r>
    </w:p>
    <w:p>
      <w:pPr>
        <w:pStyle w:val="Heading2"/>
      </w:pPr>
      <w:r>
        <w:t xml:space="preserve">14.1 Conflict of Interest / Author-Ecosystem Disclosure (critical assessment)</w:t>
      </w:r>
    </w:p>
    <w:p>
      <w:pPr>
        <w:jc w:val="both"/>
        <w:pStyle w:val="FirstParagraph"/>
      </w:pPr>
      <w:r>
        <w:t xml:space="preserve">Full transparency, per journal COI standards:</w:t>
      </w:r>
      <w:r>
        <w:t xml:space="preserve"> </w:t>
      </w:r>
      <w:r>
        <w:t xml:space="preserve">1.</w:t>
      </w:r>
      <w:r>
        <w:t xml:space="preserve"> </w:t>
      </w:r>
      <w:r>
        <w:rPr>
          <w:b/>
          <w:bCs/>
        </w:rPr>
        <w:t xml:space="preserve">Origin of the central hypothesis:</w:t>
      </w:r>
      <w:r>
        <w:t xml:space="preserve"> </w:t>
      </w:r>
      <w:r>
        <w:t xml:space="preserve">the framework (CDATA/CEDAR) originates from the author’s own publications (Tkemaladze 2005, PMID 15886028; Tkemaladze 2023, PMID 36583780) and is cited as such — it is an author-owned hypothesis, not an independent field consensus.</w:t>
      </w:r>
      <w:r>
        <w:t xml:space="preserve"> </w:t>
      </w:r>
      <w:r>
        <w:t xml:space="preserve">2.</w:t>
      </w:r>
      <w:r>
        <w:t xml:space="preserve"> </w:t>
      </w:r>
      <w:r>
        <w:rPr>
          <w:b/>
          <w:bCs/>
        </w:rPr>
        <w:t xml:space="preserve">Author ecosystem:</w:t>
      </w:r>
      <w:r>
        <w:t xml:space="preserve"> </w:t>
      </w:r>
      <w:r>
        <w:t xml:space="preserve">the author is President of Georgia Longevity Alliance and has published in outlets affiliated with this organization (Longevity Horizon, Georgian Scientists, Junior Researchers).</w:t>
      </w:r>
      <w:r>
        <w:t xml:space="preserve"> </w:t>
      </w:r>
      <w:r>
        <w:rPr>
          <w:b/>
          <w:bCs/>
        </w:rPr>
        <w:t xml:space="preserve">These publications are NOT used as evidence in this protocol</w:t>
      </w:r>
      <w:r>
        <w:t xml:space="preserve"> </w:t>
      </w:r>
      <w:r>
        <w:t xml:space="preserve">and are excluded from the reference list; only PubMed-indexed sources are cited.</w:t>
      </w:r>
      <w:r>
        <w:t xml:space="preserve"> </w:t>
      </w:r>
      <w:r>
        <w:t xml:space="preserve">3.</w:t>
      </w:r>
      <w:r>
        <w:t xml:space="preserve"> </w:t>
      </w:r>
      <w:r>
        <w:rPr>
          <w:b/>
          <w:bCs/>
        </w:rPr>
        <w:t xml:space="preserve">Self-citation:</w:t>
      </w:r>
      <w:r>
        <w:t xml:space="preserve"> </w:t>
      </w:r>
      <w:r>
        <w:t xml:space="preserve">of 34 references, 2 are the author’s (2005, 2023); the 2023 paper is the theoretical basis and is marked [H] throughout. This is disclosed, not hidden.</w:t>
      </w:r>
      <w:r>
        <w:t xml:space="preserve"> </w:t>
      </w:r>
      <w:r>
        <w:t xml:space="preserve">4.</w:t>
      </w:r>
      <w:r>
        <w:t xml:space="preserve"> </w:t>
      </w:r>
      <w:r>
        <w:rPr>
          <w:b/>
          <w:bCs/>
        </w:rPr>
        <w:t xml:space="preserve">Multiple funding tracks:</w:t>
      </w:r>
      <w:r>
        <w:t xml:space="preserve"> </w:t>
      </w:r>
      <w:r>
        <w:t xml:space="preserve">the same core program is submitted to ERC StG, EIC Pathfinder (CIRCBIO-07), MIC/EU4Business/USAID, the Cologne workshop, and ARGUS-OS3.</w:t>
      </w:r>
      <w:r>
        <w:t xml:space="preserve"> </w:t>
      </w:r>
      <w:r>
        <w:rPr>
          <w:b/>
          <w:bCs/>
        </w:rPr>
        <w:t xml:space="preserve">Non-overlap statement (to prevent double-dipping):</w:t>
      </w:r>
      <w:r>
        <w:t xml:space="preserve"> </w:t>
      </w:r>
      <w:r>
        <w:t xml:space="preserve">each track funds a distinct deliverable — ERC: Phase 1–2 (fibroblast reset + 2×2); CIRCBIO-07: product/industrial translation of H4/H7 readouts; MIC/USAID: biomarker pipeline application; ARGUS-OS3: causality platform (ablation + transplantation, separate species/cells). No experiment is billed to two funders.</w:t>
      </w:r>
      <w:r>
        <w:t xml:space="preserve"> </w:t>
      </w:r>
      <w:r>
        <w:t xml:space="preserve">5.</w:t>
      </w:r>
      <w:r>
        <w:t xml:space="preserve"> </w:t>
      </w:r>
      <w:r>
        <w:rPr>
          <w:b/>
          <w:bCs/>
        </w:rPr>
        <w:t xml:space="preserve">No competing financial interests</w:t>
      </w:r>
      <w:r>
        <w:t xml:space="preserve"> </w:t>
      </w:r>
      <w:r>
        <w:t xml:space="preserve">in reagents, companies, or instruments described.</w:t>
      </w:r>
      <w:r>
        <w:t xml:space="preserve"> </w:t>
      </w:r>
      <w:r>
        <w:t xml:space="preserve">6.</w:t>
      </w:r>
      <w:r>
        <w:t xml:space="preserve"> </w:t>
      </w:r>
      <w:r>
        <w:rPr>
          <w:b/>
          <w:bCs/>
        </w:rPr>
        <w:t xml:space="preserve">Rhetoric alignment — disclosure in full (critical assessment):</w:t>
      </w:r>
      <w:r>
        <w:t xml:space="preserve"> </w:t>
      </w:r>
      <w:r>
        <w:t xml:space="preserve">the author’s affiliated non-peer-reviewed outlets (Longevity Horizon, Georgian Scientists, Junior Researchers) have used stronger rhetoric than this protocol (e.g., headlines asserting an</w:t>
      </w:r>
      <w:r>
        <w:t xml:space="preserve"> </w:t>
      </w:r>
      <w:r>
        <w:t xml:space="preserve">“established causal fact”</w:t>
      </w:r>
      <w:r>
        <w:t xml:space="preserve"> </w:t>
      </w:r>
      <w:r>
        <w:t xml:space="preserve">for what is here marked [H]). Specific known instance: the 2026 headline</w:t>
      </w:r>
      <w:r>
        <w:t xml:space="preserve"> </w:t>
      </w:r>
      <w:r>
        <w:t xml:space="preserve">“Asymmetric Inheritance of the Aged Mother Centriole by Stem Cells Is an Established Causal Fact”</w:t>
      </w:r>
      <w:r>
        <w:t xml:space="preserve"> </w:t>
      </w:r>
      <w:r>
        <w:t xml:space="preserve">(Longevity Horizon) is</w:t>
      </w:r>
      <w:r>
        <w:t xml:space="preserve"> </w:t>
      </w:r>
      <w:r>
        <w:rPr>
          <w:b/>
          <w:bCs/>
        </w:rPr>
        <w:t xml:space="preserve">inconsistent with this protocol’s [H] marking</w:t>
      </w:r>
      <w:r>
        <w:t xml:space="preserve"> </w:t>
      </w:r>
      <w:r>
        <w:t xml:space="preserve">of the same claim. The author explicitly distances this protocol from those headlines: the [E]/[I]/[H]/[P] marking here is the authoritative epistemic standard; conflicting phrasing in affiliated outlets is an editorial artifact of non-peer-reviewed venues and does not reflect the claims made here.</w:t>
      </w:r>
      <w:r>
        <w:t xml:space="preserve"> </w:t>
      </w:r>
      <w:r>
        <w:rPr>
          <w:b/>
          <w:bCs/>
        </w:rPr>
        <w:t xml:space="preserve">Mitigation in progress:</w:t>
      </w:r>
      <w:r>
        <w:t xml:space="preserve"> </w:t>
      </w:r>
      <w:r>
        <w:t xml:space="preserve">affiliated-outlet headlines are being revised to match [E]/[I]/[H]/[P] levels.</w:t>
      </w:r>
    </w:p>
    <w:p>
      <w:pPr>
        <w:pStyle w:val="Heading2"/>
      </w:pPr>
      <w:r>
        <w:t xml:space="preserve">15. References (APA 7; all verified via NCBI E-utilities, 2026-08-11)</w:t>
      </w:r>
    </w:p>
    <w:p>
      <w:pPr>
        <w:jc w:val="both"/>
        <w:numPr>
          <w:ilvl w:val="0"/>
          <w:numId w:val="1017"/>
        </w:numPr>
      </w:pPr>
      <w:r>
        <w:t xml:space="preserve">Anderson, C. T., &amp; Stearns, T. (2009). Centriole age underlies asynchronous primary cilium growth in mammalian cells.</w:t>
      </w:r>
      <w:r>
        <w:t xml:space="preserve"> </w:t>
      </w:r>
      <w:r>
        <w:rPr>
          <w:i/>
          <w:iCs/>
        </w:rPr>
        <w:t xml:space="preserve">Current Biology</w:t>
      </w:r>
      <w:r>
        <w:t xml:space="preserve">, 19(18), 1498–1502. (PMID 19682908) —</w:t>
      </w:r>
      <w:r>
        <w:t xml:space="preserve"> </w:t>
      </w:r>
      <w:r>
        <w:rPr>
          <w:b/>
          <w:bCs/>
        </w:rPr>
        <w:t xml:space="preserve">level-of-evidence corrected to [I] in v8.1: age–growth-rate association is correlational, not causal</w:t>
      </w:r>
    </w:p>
    <w:p>
      <w:pPr>
        <w:jc w:val="both"/>
        <w:numPr>
          <w:ilvl w:val="0"/>
          <w:numId w:val="1017"/>
        </w:numPr>
      </w:pPr>
      <w:r>
        <w:t xml:space="preserve">Avidor-Reiss, T., &amp; Fishman, E. L. (2019). It takes two (centrioles) to tango.</w:t>
      </w:r>
      <w:r>
        <w:t xml:space="preserve"> </w:t>
      </w:r>
      <w:r>
        <w:rPr>
          <w:i/>
          <w:iCs/>
        </w:rPr>
        <w:t xml:space="preserve">Reproduction</w:t>
      </w:r>
      <w:r>
        <w:t xml:space="preserve">, 157(2), R33–R51. (PMID 30496124)</w:t>
      </w:r>
    </w:p>
    <w:p>
      <w:pPr>
        <w:jc w:val="both"/>
        <w:numPr>
          <w:ilvl w:val="0"/>
          <w:numId w:val="1017"/>
        </w:numPr>
      </w:pPr>
      <w:r>
        <w:t xml:space="preserve">Barandun, N., et al. (2025). Targeted localization of the mother centrosome in CD8+ T cells undergoing asymmetric cell division.</w:t>
      </w:r>
      <w:r>
        <w:t xml:space="preserve"> </w:t>
      </w:r>
      <w:r>
        <w:rPr>
          <w:i/>
          <w:iCs/>
        </w:rPr>
        <w:t xml:space="preserve">Cell Reports</w:t>
      </w:r>
      <w:r>
        <w:t xml:space="preserve">, 44(1), 115127. (PMID 39764850)</w:t>
      </w:r>
    </w:p>
    <w:p>
      <w:pPr>
        <w:jc w:val="both"/>
        <w:numPr>
          <w:ilvl w:val="0"/>
          <w:numId w:val="1017"/>
        </w:numPr>
      </w:pPr>
      <w:r>
        <w:t xml:space="preserve">Borrego-Pinto, J., et al. (2016). Distinct mechanisms eliminate mother and daughter centrioles in meiosis of starfish oocytes.</w:t>
      </w:r>
      <w:r>
        <w:t xml:space="preserve"> </w:t>
      </w:r>
      <w:r>
        <w:rPr>
          <w:i/>
          <w:iCs/>
        </w:rPr>
        <w:t xml:space="preserve">Journal of Cell Biology</w:t>
      </w:r>
      <w:r>
        <w:t xml:space="preserve">, 213(5), 533–543. (PMID 27002173)</w:t>
      </w:r>
    </w:p>
    <w:p>
      <w:pPr>
        <w:jc w:val="both"/>
        <w:numPr>
          <w:ilvl w:val="0"/>
          <w:numId w:val="1017"/>
        </w:numPr>
      </w:pPr>
      <w:r>
        <w:t xml:space="preserve">Chen, C., &amp; Yamashita, Y. M. (2021). Centrosome-centric view of asymmetric stem cell division.</w:t>
      </w:r>
      <w:r>
        <w:t xml:space="preserve"> </w:t>
      </w:r>
      <w:r>
        <w:rPr>
          <w:i/>
          <w:iCs/>
        </w:rPr>
        <w:t xml:space="preserve">Open Biology</w:t>
      </w:r>
      <w:r>
        <w:t xml:space="preserve">, 11(2), 200334. (PMID 33435817)</w:t>
      </w:r>
    </w:p>
    <w:p>
      <w:pPr>
        <w:jc w:val="both"/>
        <w:numPr>
          <w:ilvl w:val="0"/>
          <w:numId w:val="1017"/>
        </w:numPr>
      </w:pPr>
      <w:r>
        <w:t xml:space="preserve">Gönczy, P. (2026). Critical constituents and assembly principles of centriole biogenesis in human cells.</w:t>
      </w:r>
      <w:r>
        <w:t xml:space="preserve"> </w:t>
      </w:r>
      <w:r>
        <w:rPr>
          <w:i/>
          <w:iCs/>
        </w:rPr>
        <w:t xml:space="preserve">Nature Reviews Molecular Cell Biology</w:t>
      </w:r>
      <w:r>
        <w:t xml:space="preserve">, 27, 260–277. (PMID 41310006)</w:t>
      </w:r>
    </w:p>
    <w:p>
      <w:pPr>
        <w:jc w:val="both"/>
        <w:numPr>
          <w:ilvl w:val="0"/>
          <w:numId w:val="1017"/>
        </w:numPr>
      </w:pPr>
      <w:r>
        <w:t xml:space="preserve">Januschke, J., Llamazares, S., Reina, J., &amp; Gonzalez, C. (2011). Drosophila neuroblasts retain the daughter centrosome.</w:t>
      </w:r>
      <w:r>
        <w:t xml:space="preserve"> </w:t>
      </w:r>
      <w:r>
        <w:rPr>
          <w:i/>
          <w:iCs/>
        </w:rPr>
        <w:t xml:space="preserve">Nature Communications</w:t>
      </w:r>
      <w:r>
        <w:t xml:space="preserve">, 2, 243. (PMID 21407209)</w:t>
      </w:r>
    </w:p>
    <w:p>
      <w:pPr>
        <w:jc w:val="both"/>
        <w:numPr>
          <w:ilvl w:val="0"/>
          <w:numId w:val="1017"/>
        </w:numPr>
      </w:pPr>
      <w:r>
        <w:t xml:space="preserve">Kalbfuss, N., &amp; Gönczy, P. (2023a). Towards understanding centriole elimination.</w:t>
      </w:r>
      <w:r>
        <w:t xml:space="preserve"> </w:t>
      </w:r>
      <w:r>
        <w:rPr>
          <w:i/>
          <w:iCs/>
        </w:rPr>
        <w:t xml:space="preserve">Open Biology</w:t>
      </w:r>
      <w:r>
        <w:t xml:space="preserve">, 13, 230222. (PMID 37963546)</w:t>
      </w:r>
    </w:p>
    <w:p>
      <w:pPr>
        <w:jc w:val="both"/>
        <w:numPr>
          <w:ilvl w:val="0"/>
          <w:numId w:val="1017"/>
        </w:numPr>
      </w:pPr>
      <w:r>
        <w:t xml:space="preserve">Kalbfuss, N., &amp; Gönczy, P. (2023b). Extensive programmed centriole elimination unveiled in C. elegans embryos.</w:t>
      </w:r>
      <w:r>
        <w:t xml:space="preserve"> </w:t>
      </w:r>
      <w:r>
        <w:rPr>
          <w:i/>
          <w:iCs/>
        </w:rPr>
        <w:t xml:space="preserve">Science Advances</w:t>
      </w:r>
      <w:r>
        <w:t xml:space="preserve">, 9(33), eadg8682. (PMID 37256957)</w:t>
      </w:r>
    </w:p>
    <w:p>
      <w:pPr>
        <w:jc w:val="both"/>
        <w:numPr>
          <w:ilvl w:val="0"/>
          <w:numId w:val="1017"/>
        </w:numPr>
      </w:pPr>
      <w:r>
        <w:t xml:space="preserve">Khodjakov, A., Rieder, C. L., Sluder, G., Cassels, G., Sibon, O., &amp; Wang, C.-L. (2002). De novo formation of centrosomes in vertebrate cells arrested during S phase.</w:t>
      </w:r>
      <w:r>
        <w:t xml:space="preserve"> </w:t>
      </w:r>
      <w:r>
        <w:rPr>
          <w:i/>
          <w:iCs/>
        </w:rPr>
        <w:t xml:space="preserve">Journal of Cell Biology</w:t>
      </w:r>
      <w:r>
        <w:t xml:space="preserve">, 158(7), 1171–1181. (PMID 12356862)</w:t>
      </w:r>
    </w:p>
    <w:p>
      <w:pPr>
        <w:jc w:val="both"/>
        <w:numPr>
          <w:ilvl w:val="0"/>
          <w:numId w:val="1017"/>
        </w:numPr>
      </w:pPr>
      <w:r>
        <w:t xml:space="preserve">Köhrer, S., et al. (2023). High-throughput electron tomography identifies centriole over-elongation as an early event in plasma cell disorders.</w:t>
      </w:r>
      <w:r>
        <w:t xml:space="preserve"> </w:t>
      </w:r>
      <w:r>
        <w:rPr>
          <w:i/>
          <w:iCs/>
        </w:rPr>
        <w:t xml:space="preserve">Leukemia</w:t>
      </w:r>
      <w:r>
        <w:t xml:space="preserve">, 37. (PMID 37821581) —</w:t>
      </w:r>
      <w:r>
        <w:t xml:space="preserve"> </w:t>
      </w:r>
      <w:r>
        <w:rPr>
          <w:b/>
          <w:bCs/>
        </w:rPr>
        <w:t xml:space="preserve">disease-associated geometry change; physiological-aging relevance undetermined</w:t>
      </w:r>
    </w:p>
    <w:p>
      <w:pPr>
        <w:jc w:val="both"/>
        <w:numPr>
          <w:ilvl w:val="0"/>
          <w:numId w:val="1017"/>
        </w:numPr>
      </w:pPr>
      <w:r>
        <w:t xml:space="preserve">López-Otín, C., Blasco, M. A., Partridge, L., Serrano, M., &amp; Kroemer, G. (2013). The hallmarks of aging.</w:t>
      </w:r>
      <w:r>
        <w:t xml:space="preserve"> </w:t>
      </w:r>
      <w:r>
        <w:rPr>
          <w:i/>
          <w:iCs/>
        </w:rPr>
        <w:t xml:space="preserve">Cell</w:t>
      </w:r>
      <w:r>
        <w:t xml:space="preserve">, 153(6), 1194–1217. (PMID 23746838)</w:t>
      </w:r>
    </w:p>
    <w:p>
      <w:pPr>
        <w:jc w:val="both"/>
        <w:numPr>
          <w:ilvl w:val="0"/>
          <w:numId w:val="1017"/>
        </w:numPr>
      </w:pPr>
      <w:r>
        <w:t xml:space="preserve">López-Otín, C., Blasco, M. A., Partridge, L., Serrano, M., &amp; Kroemer, G. (2023). Hallmarks of aging: An expanding universe.</w:t>
      </w:r>
      <w:r>
        <w:t xml:space="preserve"> </w:t>
      </w:r>
      <w:r>
        <w:rPr>
          <w:i/>
          <w:iCs/>
        </w:rPr>
        <w:t xml:space="preserve">Cell</w:t>
      </w:r>
      <w:r>
        <w:t xml:space="preserve">, 186(2), 243–278. (PMID 36599349)</w:t>
      </w:r>
    </w:p>
    <w:p>
      <w:pPr>
        <w:jc w:val="both"/>
        <w:numPr>
          <w:ilvl w:val="0"/>
          <w:numId w:val="1017"/>
        </w:numPr>
      </w:pPr>
      <w:r>
        <w:t xml:space="preserve">Lu, Y., et al. (2020). Reprogramming to recover youthful epigenetic information and restore vision.</w:t>
      </w:r>
      <w:r>
        <w:t xml:space="preserve"> </w:t>
      </w:r>
      <w:r>
        <w:rPr>
          <w:i/>
          <w:iCs/>
        </w:rPr>
        <w:t xml:space="preserve">Nature</w:t>
      </w:r>
      <w:r>
        <w:t xml:space="preserve">, 588, 124–129. (PMID 33268865)</w:t>
      </w:r>
    </w:p>
    <w:p>
      <w:pPr>
        <w:jc w:val="both"/>
        <w:numPr>
          <w:ilvl w:val="0"/>
          <w:numId w:val="1017"/>
        </w:numPr>
      </w:pPr>
      <w:r>
        <w:t xml:space="preserve">Ocampo, A., et al. (2016). In vivo amelioration of age-associated hallmarks by partial reprogramming.</w:t>
      </w:r>
      <w:r>
        <w:t xml:space="preserve"> </w:t>
      </w:r>
      <w:r>
        <w:rPr>
          <w:i/>
          <w:iCs/>
        </w:rPr>
        <w:t xml:space="preserve">Cell</w:t>
      </w:r>
      <w:r>
        <w:t xml:space="preserve">, 167(7), 1719–1733. (PMID 27984723)</w:t>
      </w:r>
    </w:p>
    <w:p>
      <w:pPr>
        <w:jc w:val="both"/>
        <w:numPr>
          <w:ilvl w:val="0"/>
          <w:numId w:val="1017"/>
        </w:numPr>
      </w:pPr>
      <w:r>
        <w:t xml:space="preserve">Pimenta-Marques, A., et al. (2016). A mechanism for the elimination of the female gamete centrosome in Drosophila meiosis.</w:t>
      </w:r>
      <w:r>
        <w:t xml:space="preserve"> </w:t>
      </w:r>
      <w:r>
        <w:rPr>
          <w:i/>
          <w:iCs/>
        </w:rPr>
        <w:t xml:space="preserve">Science</w:t>
      </w:r>
      <w:r>
        <w:t xml:space="preserve">, 353(6294), aaf4866. (PMID 27229142)</w:t>
      </w:r>
    </w:p>
    <w:p>
      <w:pPr>
        <w:jc w:val="both"/>
        <w:numPr>
          <w:ilvl w:val="0"/>
          <w:numId w:val="1017"/>
        </w:numPr>
      </w:pPr>
      <w:r>
        <w:t xml:space="preserve">Renzova, T., et al. (2018). Inactivation of the PLK4–STIL module prevents self-renewal and triggers p53-dependent differentiation in human embryonic stem cells.</w:t>
      </w:r>
      <w:r>
        <w:t xml:space="preserve"> </w:t>
      </w:r>
      <w:r>
        <w:rPr>
          <w:i/>
          <w:iCs/>
        </w:rPr>
        <w:t xml:space="preserve">Stem Cell Reports</w:t>
      </w:r>
      <w:r>
        <w:t xml:space="preserve">, 11(4), 959–972. (PMID 30197118)</w:t>
      </w:r>
    </w:p>
    <w:p>
      <w:pPr>
        <w:jc w:val="both"/>
        <w:numPr>
          <w:ilvl w:val="0"/>
          <w:numId w:val="1017"/>
        </w:numPr>
      </w:pPr>
      <w:r>
        <w:t xml:space="preserve">Robichaud, J. H., Zhang, Y., Chen, C., He, K., et al. (2024). Transiently formed nucleus-to-cilium microtubule arrays mediate senescence initiation in a KIFC3-dependent manner.</w:t>
      </w:r>
      <w:r>
        <w:t xml:space="preserve"> </w:t>
      </w:r>
      <w:r>
        <w:rPr>
          <w:i/>
          <w:iCs/>
        </w:rPr>
        <w:t xml:space="preserve">Nature Communications</w:t>
      </w:r>
      <w:r>
        <w:t xml:space="preserve">, 15, 7977. https://doi.org/10.1038/s41467-024-52363-w (PMID 39266565) —</w:t>
      </w:r>
      <w:r>
        <w:t xml:space="preserve"> </w:t>
      </w:r>
      <w:r>
        <w:rPr>
          <w:b/>
          <w:bCs/>
        </w:rPr>
        <w:t xml:space="preserve">article number corrected to 15:7977 in v7.8</w:t>
      </w:r>
    </w:p>
    <w:p>
      <w:pPr>
        <w:jc w:val="both"/>
        <w:numPr>
          <w:ilvl w:val="0"/>
          <w:numId w:val="1017"/>
        </w:numPr>
      </w:pPr>
      <w:r>
        <w:t xml:space="preserve">Sahu, S. K., et al. (2024). Targeted partial reprogramming of age-associated cell states improves markers of health. (PMID 39259812)</w:t>
      </w:r>
    </w:p>
    <w:p>
      <w:pPr>
        <w:jc w:val="both"/>
        <w:numPr>
          <w:ilvl w:val="0"/>
          <w:numId w:val="1017"/>
        </w:numPr>
      </w:pPr>
      <w:r>
        <w:t xml:space="preserve">Schatten, H., Sun, Q.-Y., &amp; Prather, R. (2005). Centrosome reduction during gametogenesis and its significance.</w:t>
      </w:r>
      <w:r>
        <w:t xml:space="preserve"> </w:t>
      </w:r>
      <w:r>
        <w:rPr>
          <w:i/>
          <w:iCs/>
        </w:rPr>
        <w:t xml:space="preserve">Biology of Reproduction</w:t>
      </w:r>
      <w:r>
        <w:t xml:space="preserve">, 72(1), 2–13. (PMID 15385423)</w:t>
      </w:r>
    </w:p>
    <w:p>
      <w:pPr>
        <w:jc w:val="both"/>
        <w:numPr>
          <w:ilvl w:val="0"/>
          <w:numId w:val="1017"/>
        </w:numPr>
      </w:pPr>
      <w:r>
        <w:t xml:space="preserve">Shin, B., Kim, M. S., Lee, Y., et al. (2021). Generation and fates of supernumerary centrioles in dividing cells.</w:t>
      </w:r>
      <w:r>
        <w:t xml:space="preserve"> </w:t>
      </w:r>
      <w:r>
        <w:rPr>
          <w:i/>
          <w:iCs/>
        </w:rPr>
        <w:t xml:space="preserve">Molecules and Cells</w:t>
      </w:r>
      <w:r>
        <w:t xml:space="preserve">, 44(11), 805–816. (PMID 34711687)</w:t>
      </w:r>
    </w:p>
    <w:p>
      <w:pPr>
        <w:jc w:val="both"/>
        <w:numPr>
          <w:ilvl w:val="0"/>
          <w:numId w:val="1017"/>
        </w:numPr>
      </w:pPr>
      <w:r>
        <w:t xml:space="preserve">Simerly, C., et al. (2018). Separation and loss of centrioles from primordial germ cells to mature oocytes in the mouse.</w:t>
      </w:r>
      <w:r>
        <w:t xml:space="preserve"> </w:t>
      </w:r>
      <w:r>
        <w:rPr>
          <w:i/>
          <w:iCs/>
        </w:rPr>
        <w:t xml:space="preserve">Scientific Reports</w:t>
      </w:r>
      <w:r>
        <w:t xml:space="preserve">, 8, 12791. (PMID 30143724)</w:t>
      </w:r>
    </w:p>
    <w:p>
      <w:pPr>
        <w:jc w:val="both"/>
        <w:numPr>
          <w:ilvl w:val="0"/>
          <w:numId w:val="1017"/>
        </w:numPr>
      </w:pPr>
      <w:r>
        <w:t xml:space="preserve">Takumi, K., &amp; Kitagawa, D. (2022). Experimental and natural induction of de novo centriole formation.</w:t>
      </w:r>
      <w:r>
        <w:t xml:space="preserve"> </w:t>
      </w:r>
      <w:r>
        <w:rPr>
          <w:i/>
          <w:iCs/>
        </w:rPr>
        <w:t xml:space="preserve">Frontiers in Cell and Developmental Biology</w:t>
      </w:r>
      <w:r>
        <w:t xml:space="preserve">, 10, 861864. (PMID 35445021)</w:t>
      </w:r>
    </w:p>
    <w:p>
      <w:pPr>
        <w:jc w:val="both"/>
        <w:numPr>
          <w:ilvl w:val="0"/>
          <w:numId w:val="1017"/>
        </w:numPr>
      </w:pPr>
      <w:r>
        <w:t xml:space="preserve">Thomas, C., &amp; Giet, R. (2022). Live imaging of Drosophila melanogaster neural stem cells with photo-ablated centrosomes.</w:t>
      </w:r>
      <w:r>
        <w:t xml:space="preserve"> </w:t>
      </w:r>
      <w:r>
        <w:rPr>
          <w:i/>
          <w:iCs/>
        </w:rPr>
        <w:t xml:space="preserve">STAR Protocols</w:t>
      </w:r>
      <w:r>
        <w:t xml:space="preserve">, 3(3), 101493. (PMID 35776653)</w:t>
      </w:r>
    </w:p>
    <w:p>
      <w:pPr>
        <w:jc w:val="both"/>
        <w:numPr>
          <w:ilvl w:val="0"/>
          <w:numId w:val="1017"/>
        </w:numPr>
      </w:pPr>
      <w:r>
        <w:t xml:space="preserve">Tkemaladze, J. (2023). Reduction, proliferation, and differentiation defects of stem cells over time: A consequence of selective accumulation of old centrioles in the stem cells?</w:t>
      </w:r>
      <w:r>
        <w:t xml:space="preserve"> </w:t>
      </w:r>
      <w:r>
        <w:rPr>
          <w:i/>
          <w:iCs/>
        </w:rPr>
        <w:t xml:space="preserve">Molecular Biology Reports</w:t>
      </w:r>
      <w:r>
        <w:t xml:space="preserve">, 50(3), 2751–2761. https://doi.org/10.1007/s11033-022-08203-5 (PMID 36583780) —</w:t>
      </w:r>
      <w:r>
        <w:t xml:space="preserve"> </w:t>
      </w:r>
      <w:r>
        <w:rPr>
          <w:b/>
          <w:bCs/>
        </w:rPr>
        <w:t xml:space="preserve">exact title per PubMed; theoretical basis of the program [H]</w:t>
      </w:r>
    </w:p>
    <w:p>
      <w:pPr>
        <w:jc w:val="both"/>
        <w:numPr>
          <w:ilvl w:val="0"/>
          <w:numId w:val="1017"/>
        </w:numPr>
      </w:pPr>
      <w:r>
        <w:t xml:space="preserve">Wang, X., Tsai, J.-W., Imai, J. H., Lian, W.-N., Vallee, R. B., &amp; Shi, S.-H. (2009). Asymmetric centrosome inheritance maintains neural progenitors in the neocortex.</w:t>
      </w:r>
      <w:r>
        <w:t xml:space="preserve"> </w:t>
      </w:r>
      <w:r>
        <w:rPr>
          <w:i/>
          <w:iCs/>
        </w:rPr>
        <w:t xml:space="preserve">Nature</w:t>
      </w:r>
      <w:r>
        <w:t xml:space="preserve">, 461(7266), 947–955. (PMID 19829375)</w:t>
      </w:r>
    </w:p>
    <w:p>
      <w:pPr>
        <w:jc w:val="both"/>
        <w:numPr>
          <w:ilvl w:val="0"/>
          <w:numId w:val="1017"/>
        </w:numPr>
      </w:pPr>
      <w:r>
        <w:t xml:space="preserve">Wong, Y. L., et al. (2015). Reversible centriole depletion with an inhibitor of Polo-like kinase 4.</w:t>
      </w:r>
      <w:r>
        <w:t xml:space="preserve"> </w:t>
      </w:r>
      <w:r>
        <w:rPr>
          <w:i/>
          <w:iCs/>
        </w:rPr>
        <w:t xml:space="preserve">Science</w:t>
      </w:r>
      <w:r>
        <w:t xml:space="preserve">, 348(6239), 1155–1160. (PMID 25931445)</w:t>
      </w:r>
    </w:p>
    <w:p>
      <w:pPr>
        <w:jc w:val="both"/>
        <w:numPr>
          <w:ilvl w:val="0"/>
          <w:numId w:val="1017"/>
        </w:numPr>
      </w:pPr>
      <w:r>
        <w:t xml:space="preserve">Yamashita, Y. M., Mahowald, A. P., Perlin, J. R., &amp; Fuller, M. T. (2007). Asymmetric inheritance of mother versus daughter centrosome in stem cell division.</w:t>
      </w:r>
      <w:r>
        <w:t xml:space="preserve"> </w:t>
      </w:r>
      <w:r>
        <w:rPr>
          <w:i/>
          <w:iCs/>
        </w:rPr>
        <w:t xml:space="preserve">Science</w:t>
      </w:r>
      <w:r>
        <w:t xml:space="preserve">, 315(5811), 518–521. (PMID 17255513)</w:t>
      </w:r>
    </w:p>
    <w:p>
      <w:pPr>
        <w:jc w:val="both"/>
        <w:numPr>
          <w:ilvl w:val="0"/>
          <w:numId w:val="1017"/>
        </w:numPr>
      </w:pPr>
      <w:r>
        <w:t xml:space="preserve">Zhang, C., et al. (2026). Hepatocyte-specific partial cellular reprogramming via selective OSK mRNA lipid nanoparticles. (PMID 41443352)</w:t>
      </w:r>
    </w:p>
    <w:p>
      <w:pPr>
        <w:jc w:val="both"/>
        <w:numPr>
          <w:ilvl w:val="0"/>
          <w:numId w:val="1017"/>
        </w:numPr>
      </w:pPr>
      <w:r>
        <w:t xml:space="preserve">Zhao, X., et al. (2025). PCM1 coordinates centrosome asymmetry with polarized endosome dynamics to regulate daughter cell fate.</w:t>
      </w:r>
      <w:r>
        <w:t xml:space="preserve"> </w:t>
      </w:r>
      <w:r>
        <w:rPr>
          <w:i/>
          <w:iCs/>
        </w:rPr>
        <w:t xml:space="preserve">Nature Communications</w:t>
      </w:r>
      <w:r>
        <w:t xml:space="preserve">, 16, 10728. (PMID 41315244)</w:t>
      </w:r>
    </w:p>
    <w:p>
      <w:pPr>
        <w:jc w:val="both"/>
        <w:numPr>
          <w:ilvl w:val="0"/>
          <w:numId w:val="1017"/>
        </w:numPr>
      </w:pPr>
      <w:r>
        <w:t xml:space="preserve">Zielke, L. G., &amp; Ryan, T. J. (2026). Rescuing specific memories by rejuvenating engram cells. (PMID 41856040)</w:t>
      </w:r>
    </w:p>
    <w:p>
      <w:pPr>
        <w:jc w:val="both"/>
        <w:numPr>
          <w:ilvl w:val="0"/>
          <w:numId w:val="1017"/>
        </w:numPr>
      </w:pPr>
      <w:r>
        <w:t xml:space="preserve">La Terra, S., English, C. N., Hergert, P., et al. (2005). The de novo centriole assembly pathway in HeLa cells: Cell cycle progression and centriole assembly/maturation.</w:t>
      </w:r>
      <w:r>
        <w:t xml:space="preserve"> </w:t>
      </w:r>
      <w:r>
        <w:rPr>
          <w:i/>
          <w:iCs/>
        </w:rPr>
        <w:t xml:space="preserve">Journal of Cell Biology</w:t>
      </w:r>
      <w:r>
        <w:t xml:space="preserve">, 168(5), 713–722. (PMID 15738265)</w:t>
      </w:r>
    </w:p>
    <w:p>
      <w:pPr>
        <w:jc w:val="both"/>
        <w:numPr>
          <w:ilvl w:val="0"/>
          <w:numId w:val="1017"/>
        </w:numPr>
      </w:pPr>
      <w:r>
        <w:t xml:space="preserve">Uetake, Y., Loncarek, J., Nordberg, J. J., et al. (2007). Cell cycle progression and de novo centriole assembly after centrosomal removal in untransformed human cells.</w:t>
      </w:r>
      <w:r>
        <w:t xml:space="preserve"> </w:t>
      </w:r>
      <w:r>
        <w:rPr>
          <w:i/>
          <w:iCs/>
        </w:rPr>
        <w:t xml:space="preserve">Journal of Cell Biology</w:t>
      </w:r>
      <w:r>
        <w:t xml:space="preserve">, 176(2), 173–182. (PMID 17227892)</w:t>
      </w:r>
    </w:p>
    <w:p>
      <w:pPr>
        <w:jc w:val="both"/>
        <w:numPr>
          <w:ilvl w:val="0"/>
          <w:numId w:val="1017"/>
        </w:numPr>
      </w:pPr>
      <w:r>
        <w:t xml:space="preserve">Mikule, K., Delaval, B., Kaldis, P., Jurcyzk, A., Hergert, P., &amp; Doxsey, S. (2007). Loss of centrosome integrity induces p38–p53–p21-dependent G1-S arrest.</w:t>
      </w:r>
      <w:r>
        <w:t xml:space="preserve"> </w:t>
      </w:r>
      <w:r>
        <w:rPr>
          <w:i/>
          <w:iCs/>
        </w:rPr>
        <w:t xml:space="preserve">Nature Cell Biology</w:t>
      </w:r>
      <w:r>
        <w:t xml:space="preserve">, 9(2), 160–170. (PMID 17330329)</w:t>
      </w:r>
    </w:p>
    <w:p>
      <w:pPr>
        <w:jc w:val="both"/>
        <w:numPr>
          <w:ilvl w:val="0"/>
          <w:numId w:val="1017"/>
        </w:numPr>
      </w:pPr>
      <w:r>
        <w:t xml:space="preserve">Bazzi, H., &amp; Anderson, K. V. (2014). Acentriolar mitosis activates a p53-dependent apoptosis pathway in the mouse embryo.</w:t>
      </w:r>
      <w:r>
        <w:t xml:space="preserve"> </w:t>
      </w:r>
      <w:r>
        <w:rPr>
          <w:i/>
          <w:iCs/>
        </w:rPr>
        <w:t xml:space="preserve">PNAS</w:t>
      </w:r>
      <w:r>
        <w:t xml:space="preserve">, 111(15), E1491–E1500. (PMID 24706806)</w:t>
      </w:r>
    </w:p>
    <w:p>
      <w:pPr>
        <w:jc w:val="both"/>
        <w:numPr>
          <w:ilvl w:val="0"/>
          <w:numId w:val="1017"/>
        </w:numPr>
      </w:pPr>
      <w:r>
        <w:t xml:space="preserve">Xie, C., Abrams, S. R., Herranz-Pérez, V., et al. (2021). Endoderm development requires centrioles to restrain p53-mediated apoptosis in the absence of ERK activity.</w:t>
      </w:r>
      <w:r>
        <w:t xml:space="preserve"> </w:t>
      </w:r>
      <w:r>
        <w:rPr>
          <w:i/>
          <w:iCs/>
        </w:rPr>
        <w:t xml:space="preserve">Developmental Cell</w:t>
      </w:r>
      <w:r>
        <w:t xml:space="preserve">, 56(24), 3334–3348. (PMID 34932949)</w:t>
      </w:r>
    </w:p>
    <w:p>
      <w:pPr>
        <w:jc w:val="both"/>
        <w:numPr>
          <w:ilvl w:val="0"/>
          <w:numId w:val="1017"/>
        </w:numPr>
      </w:pPr>
      <w:r>
        <w:t xml:space="preserve">Mikeladze-Dvali, T., von Tobel, L., Strnad, P., et al. (2012). Analysis of centriole elimination during C. elegans oogenesis.</w:t>
      </w:r>
      <w:r>
        <w:t xml:space="preserve"> </w:t>
      </w:r>
      <w:r>
        <w:rPr>
          <w:i/>
          <w:iCs/>
        </w:rPr>
        <w:t xml:space="preserve">Development</w:t>
      </w:r>
      <w:r>
        <w:t xml:space="preserve">, 139(9), 1670–1679. (PMID 22492357)</w:t>
      </w:r>
    </w:p>
    <w:p>
      <w:pPr>
        <w:jc w:val="both"/>
        <w:numPr>
          <w:ilvl w:val="0"/>
          <w:numId w:val="1017"/>
        </w:numPr>
      </w:pPr>
      <w:r>
        <w:t xml:space="preserve">Szöllosi, D., &amp; Ozil, J. P. (1991). De novo formation of centrioles in parthenogenetically activated, diploidized rabbit embryos.</w:t>
      </w:r>
      <w:r>
        <w:t xml:space="preserve"> </w:t>
      </w:r>
      <w:r>
        <w:rPr>
          <w:i/>
          <w:iCs/>
        </w:rPr>
        <w:t xml:space="preserve">Biology of the Cell</w:t>
      </w:r>
      <w:r>
        <w:t xml:space="preserve">, 72(1-2), 61–66. (PMID 1756312)</w:t>
      </w:r>
    </w:p>
    <w:p>
      <w:pPr>
        <w:jc w:val="both"/>
        <w:numPr>
          <w:ilvl w:val="0"/>
          <w:numId w:val="1017"/>
        </w:numPr>
      </w:pPr>
      <w:r>
        <w:t xml:space="preserve">Riparbelli, M. G., Gottardo, M., &amp; Callaini, G. (2017). Parthenogenesis in insects: The centriole renaissance.</w:t>
      </w:r>
      <w:r>
        <w:t xml:space="preserve"> </w:t>
      </w:r>
      <w:r>
        <w:rPr>
          <w:i/>
          <w:iCs/>
        </w:rPr>
        <w:t xml:space="preserve">Results and Problems in Cell Differentiation</w:t>
      </w:r>
      <w:r>
        <w:t xml:space="preserve">, 63, 259–274. (PMID 28779329)</w:t>
      </w:r>
    </w:p>
    <w:p>
      <w:pPr>
        <w:jc w:val="both"/>
        <w:numPr>
          <w:ilvl w:val="0"/>
          <w:numId w:val="1017"/>
        </w:numPr>
      </w:pPr>
      <w:r>
        <w:t xml:space="preserve">Inoue, D., Wittbrodt, J., &amp; Gruss, O. J. (2018). Loss and rebirth of the animal microtubule organizing center: How maternal expression of centrosomal proteins recovers after fertilization.</w:t>
      </w:r>
      <w:r>
        <w:t xml:space="preserve"> </w:t>
      </w:r>
      <w:r>
        <w:rPr>
          <w:i/>
          <w:iCs/>
        </w:rPr>
        <w:t xml:space="preserve">BioEssays</w:t>
      </w:r>
      <w:r>
        <w:t xml:space="preserve">, 40(4), e1700135. (PMID 29522658)</w:t>
      </w:r>
    </w:p>
    <w:p>
      <w:pPr>
        <w:jc w:val="both"/>
        <w:numPr>
          <w:ilvl w:val="0"/>
          <w:numId w:val="1017"/>
        </w:numPr>
      </w:pPr>
      <w:r>
        <w:t xml:space="preserve">Hong, N., &amp; Cohen, A. A. (2025). Aging as entropy: A quantifiable framework.</w:t>
      </w:r>
      <w:r>
        <w:t xml:space="preserve"> </w:t>
      </w:r>
      <w:r>
        <w:rPr>
          <w:i/>
          <w:iCs/>
        </w:rPr>
        <w:t xml:space="preserve">Endocrinology and Metabolism</w:t>
      </w:r>
      <w:r>
        <w:t xml:space="preserve">, 40(6), 876–878. (PMID 41299832)</w:t>
      </w:r>
    </w:p>
    <w:p>
      <w:pPr>
        <w:jc w:val="both"/>
        <w:numPr>
          <w:ilvl w:val="0"/>
          <w:numId w:val="1017"/>
        </w:numPr>
      </w:pPr>
      <w:r>
        <w:t xml:space="preserve">Cummings, S. R., Hong, N., Cohen, A. A., et al. (2025). Entropy and human aging.</w:t>
      </w:r>
      <w:r>
        <w:t xml:space="preserve"> </w:t>
      </w:r>
      <w:r>
        <w:rPr>
          <w:i/>
          <w:iCs/>
        </w:rPr>
        <w:t xml:space="preserve">Aging Cell</w:t>
      </w:r>
      <w:r>
        <w:t xml:space="preserve">, e70292. (PMID 41230623)</w:t>
      </w:r>
    </w:p>
    <w:p>
      <w:pPr>
        <w:jc w:val="both"/>
        <w:numPr>
          <w:ilvl w:val="0"/>
          <w:numId w:val="1017"/>
        </w:numPr>
      </w:pPr>
      <w:r>
        <w:t xml:space="preserve">De Man, R., et al. (2026). Single-cell atlas of human lung aging identifies cell type dyssynchrony. (PMID 41571679)</w:t>
      </w:r>
    </w:p>
    <w:p>
      <w:pPr>
        <w:jc w:val="both"/>
        <w:numPr>
          <w:ilvl w:val="0"/>
          <w:numId w:val="1017"/>
        </w:numPr>
      </w:pPr>
      <w:r>
        <w:t xml:space="preserve">Fong, C. S., Mazo, G., Das, T., Goodman, J., Kim, M., O’Rourke, R., Izquierdo, D., &amp; Tsou, M.-F. B. (2016). 53BP1 and USP28 mediate p53-dependent cell cycle arrest in response to centrosome loss and prolonged mitosis.</w:t>
      </w:r>
      <w:r>
        <w:t xml:space="preserve"> </w:t>
      </w:r>
      <w:r>
        <w:rPr>
          <w:i/>
          <w:iCs/>
        </w:rPr>
        <w:t xml:space="preserve">eLife</w:t>
      </w:r>
      <w:r>
        <w:t xml:space="preserve">, 5, e16270. https://doi.org/10.7554/eLife.16270 (PMID 27371829) —</w:t>
      </w:r>
      <w:r>
        <w:t xml:space="preserve"> </w:t>
      </w:r>
      <w:r>
        <w:rPr>
          <w:b/>
          <w:bCs/>
        </w:rPr>
        <w:t xml:space="preserve">mitotic surveillance pathway (v7.0; article number corrected to e16270 in v7.8)</w:t>
      </w:r>
    </w:p>
    <w:p>
      <w:pPr>
        <w:jc w:val="both"/>
        <w:numPr>
          <w:ilvl w:val="0"/>
          <w:numId w:val="1017"/>
        </w:numPr>
      </w:pPr>
      <w:r>
        <w:t xml:space="preserve">Meitinger, F., Anzola, J. V., Kaulich, M., et al. (2016). 53BP1 and USP28 mediate p53 activation and G1 arrest after centrosome loss or extended mitotic duration.</w:t>
      </w:r>
      <w:r>
        <w:t xml:space="preserve"> </w:t>
      </w:r>
      <w:r>
        <w:rPr>
          <w:i/>
          <w:iCs/>
        </w:rPr>
        <w:t xml:space="preserve">Journal of Cell Biology</w:t>
      </w:r>
      <w:r>
        <w:t xml:space="preserve">, 214(2), 155–166. https://doi.org/10.1083/jcb.201604081 (PMID 27432897) —</w:t>
      </w:r>
      <w:r>
        <w:t xml:space="preserve"> </w:t>
      </w:r>
      <w:r>
        <w:rPr>
          <w:b/>
          <w:bCs/>
        </w:rPr>
        <w:t xml:space="preserve">independent confirmation (v7.0)</w:t>
      </w:r>
    </w:p>
    <w:p>
      <w:pPr>
        <w:jc w:val="both"/>
        <w:numPr>
          <w:ilvl w:val="0"/>
          <w:numId w:val="1017"/>
        </w:numPr>
      </w:pPr>
      <w:r>
        <w:t xml:space="preserve">Bratt, A., Kilgas, S., Tarazona Guzman, M., et al. (2025). Pharmacologic interrogation of USP28 cellular function in p53 signaling.</w:t>
      </w:r>
      <w:r>
        <w:t xml:space="preserve"> </w:t>
      </w:r>
      <w:r>
        <w:rPr>
          <w:i/>
          <w:iCs/>
        </w:rPr>
        <w:t xml:space="preserve">Cell Chemical Biology</w:t>
      </w:r>
      <w:r>
        <w:t xml:space="preserve">, 32. https://doi.org/10.1016/j.chembiol.2025.08.002 (PMID 40902594) —</w:t>
      </w:r>
      <w:r>
        <w:t xml:space="preserve"> </w:t>
      </w:r>
      <w:r>
        <w:rPr>
          <w:b/>
          <w:bCs/>
        </w:rPr>
        <w:t xml:space="preserve">USP28 chemical tools (v7.0)</w:t>
      </w:r>
    </w:p>
    <w:p>
      <w:pPr>
        <w:jc w:val="both"/>
        <w:numPr>
          <w:ilvl w:val="0"/>
          <w:numId w:val="1017"/>
        </w:numPr>
      </w:pPr>
      <w:r>
        <w:t xml:space="preserve">Hernandez-Olmos, V., Patzke, S., Stone, P., et al. (2026). Structure merging approach leads to new dual potent and selective USP25/USP28 inhibitors.</w:t>
      </w:r>
      <w:r>
        <w:t xml:space="preserve"> </w:t>
      </w:r>
      <w:r>
        <w:rPr>
          <w:i/>
          <w:iCs/>
        </w:rPr>
        <w:t xml:space="preserve">Journal of Medicinal Chemistry</w:t>
      </w:r>
      <w:r>
        <w:t xml:space="preserve">. https://doi.org/10.1021/acs.jmedchem.5c03045 (PMID 42017948) —</w:t>
      </w:r>
      <w:r>
        <w:t xml:space="preserve"> </w:t>
      </w:r>
      <w:r>
        <w:rPr>
          <w:b/>
          <w:bCs/>
        </w:rPr>
        <w:t xml:space="preserve">selective USP25/28 inhibitors (v7.0)</w:t>
      </w:r>
    </w:p>
    <w:p>
      <w:pPr>
        <w:jc w:val="both"/>
        <w:numPr>
          <w:ilvl w:val="0"/>
          <w:numId w:val="1017"/>
        </w:numPr>
      </w:pPr>
      <w:r>
        <w:t xml:space="preserve">Wang, J., et al. (2021). Centrosome defects cause microcephaly by activating the 53BP1–USP28–TP53 mitotic surveillance pathway.</w:t>
      </w:r>
      <w:r>
        <w:t xml:space="preserve"> </w:t>
      </w:r>
      <w:r>
        <w:rPr>
          <w:i/>
          <w:iCs/>
        </w:rPr>
        <w:t xml:space="preserve">The EMBO Journal</w:t>
      </w:r>
      <w:r>
        <w:t xml:space="preserve">, 40, e106118. (PMID 33226141) —</w:t>
      </w:r>
      <w:r>
        <w:t xml:space="preserve"> </w:t>
      </w:r>
      <w:r>
        <w:rPr>
          <w:b/>
          <w:bCs/>
        </w:rPr>
        <w:t xml:space="preserve">in vivo confirmation of the pathway (v7.0)</w:t>
      </w:r>
    </w:p>
    <w:p>
      <w:pPr>
        <w:jc w:val="both"/>
        <w:numPr>
          <w:ilvl w:val="0"/>
          <w:numId w:val="1017"/>
        </w:numPr>
      </w:pPr>
      <w:r>
        <w:t xml:space="preserve">Yamashita, Y. M., Mahowald, A. P., Perlin, J. R., &amp; Fuller, M. T. (2007). Asymmetric inheritance of mother versus daughter centrosome in stem cell division.</w:t>
      </w:r>
      <w:r>
        <w:t xml:space="preserve"> </w:t>
      </w:r>
      <w:r>
        <w:rPr>
          <w:i/>
          <w:iCs/>
        </w:rPr>
        <w:t xml:space="preserve">Science</w:t>
      </w:r>
      <w:r>
        <w:t xml:space="preserve">, 315(5811), 518–521. https://doi.org/10.1126/science.1134910 (PMID 17255513) —</w:t>
      </w:r>
      <w:r>
        <w:t xml:space="preserve"> </w:t>
      </w:r>
      <w:r>
        <w:rPr>
          <w:b/>
          <w:bCs/>
        </w:rPr>
        <w:t xml:space="preserve">DOI added in v7.0</w:t>
      </w:r>
    </w:p>
    <w:p>
      <w:pPr>
        <w:jc w:val="both"/>
        <w:numPr>
          <w:ilvl w:val="0"/>
          <w:numId w:val="1017"/>
        </w:numPr>
      </w:pPr>
      <w:r>
        <w:t xml:space="preserve">Nabet, B., et al. (2018). The dTAG system for immediate and target-specific protein degradation.</w:t>
      </w:r>
      <w:r>
        <w:t xml:space="preserve"> </w:t>
      </w:r>
      <w:r>
        <w:rPr>
          <w:i/>
          <w:iCs/>
        </w:rPr>
        <w:t xml:space="preserve">Nature Chemical Biology</w:t>
      </w:r>
      <w:r>
        <w:t xml:space="preserve">, 14(5), 431–441. (PMID 29581585) —</w:t>
      </w:r>
      <w:r>
        <w:t xml:space="preserve"> </w:t>
      </w:r>
      <w:r>
        <w:rPr>
          <w:b/>
          <w:bCs/>
        </w:rPr>
        <w:t xml:space="preserve">dTAG system (v7.1)</w:t>
      </w:r>
    </w:p>
    <w:p>
      <w:pPr>
        <w:jc w:val="both"/>
        <w:numPr>
          <w:ilvl w:val="0"/>
          <w:numId w:val="1017"/>
        </w:numPr>
      </w:pPr>
      <w:r>
        <w:t xml:space="preserve">Yesbolatova, A., et al. (2020). The auxin-inducible degron 2 technology provides sharp degradation control in yeast, mammalian cells, and mice.</w:t>
      </w:r>
      <w:r>
        <w:t xml:space="preserve"> </w:t>
      </w:r>
      <w:r>
        <w:rPr>
          <w:i/>
          <w:iCs/>
        </w:rPr>
        <w:t xml:space="preserve">Nature Communications</w:t>
      </w:r>
      <w:r>
        <w:t xml:space="preserve">, 11, 5701. (PMID 33177522) —</w:t>
      </w:r>
      <w:r>
        <w:t xml:space="preserve"> </w:t>
      </w:r>
      <w:r>
        <w:rPr>
          <w:b/>
          <w:bCs/>
        </w:rPr>
        <w:t xml:space="preserve">AID2 platform (v7.1)</w:t>
      </w:r>
    </w:p>
    <w:p>
      <w:pPr>
        <w:jc w:val="both"/>
        <w:numPr>
          <w:ilvl w:val="0"/>
          <w:numId w:val="1017"/>
        </w:numPr>
      </w:pPr>
      <w:r>
        <w:t xml:space="preserve">Sun, X., Xue, J., Sun, X., et al. (2023). Discovery of the first potent, selective, and in vivo efficacious polo-like kinase 4 proteolysis targeting chimera degrader.</w:t>
      </w:r>
      <w:r>
        <w:t xml:space="preserve"> </w:t>
      </w:r>
      <w:r>
        <w:rPr>
          <w:i/>
          <w:iCs/>
        </w:rPr>
        <w:t xml:space="preserve">Journal of Medicinal Chemistry</w:t>
      </w:r>
      <w:r>
        <w:t xml:space="preserve">, 66(12), 8200–8221. https://doi.org/10.1021/acs.jmedchem.3c00505 (PMID 37279162) —</w:t>
      </w:r>
      <w:r>
        <w:t xml:space="preserve"> </w:t>
      </w:r>
      <w:r>
        <w:rPr>
          <w:b/>
          <w:bCs/>
        </w:rPr>
        <w:t xml:space="preserve">PLK4-PROTAC (v7.1)</w:t>
      </w:r>
    </w:p>
    <w:p>
      <w:pPr>
        <w:jc w:val="both"/>
        <w:numPr>
          <w:ilvl w:val="0"/>
          <w:numId w:val="1017"/>
        </w:numPr>
      </w:pPr>
      <w:r>
        <w:t xml:space="preserve">Sladky, V. C., Strong, M. A., Tapias-Gomez, M., et al. (2025). Rapid and sustained degradation of the essential centrosome protein CEP192 in live mice using the AID2 system.</w:t>
      </w:r>
      <w:r>
        <w:t xml:space="preserve"> </w:t>
      </w:r>
      <w:r>
        <w:rPr>
          <w:i/>
          <w:iCs/>
        </w:rPr>
        <w:t xml:space="preserve">Science Advances</w:t>
      </w:r>
      <w:r>
        <w:t xml:space="preserve">, 11, eadq2339. https://doi.org/10.1126/sciadv.adq2339 (PMID 40020058) —</w:t>
      </w:r>
      <w:r>
        <w:t xml:space="preserve"> </w:t>
      </w:r>
      <w:r>
        <w:rPr>
          <w:b/>
          <w:bCs/>
        </w:rPr>
        <w:t xml:space="preserve">AID2 on centrosomal protein in vivo (v7.1)</w:t>
      </w:r>
    </w:p>
    <w:p>
      <w:pPr>
        <w:jc w:val="both"/>
        <w:numPr>
          <w:ilvl w:val="0"/>
          <w:numId w:val="1017"/>
        </w:numPr>
      </w:pPr>
      <w:r>
        <w:t xml:space="preserve">Fava, L. L., Schuler, F., Sladky, V., et al. (2017). The PIDDosome activates p53 in response to supernumerary centrosomes.</w:t>
      </w:r>
      <w:r>
        <w:t xml:space="preserve"> </w:t>
      </w:r>
      <w:r>
        <w:rPr>
          <w:i/>
          <w:iCs/>
        </w:rPr>
        <w:t xml:space="preserve">Genes &amp; Development</w:t>
      </w:r>
      <w:r>
        <w:t xml:space="preserve">, 31(1), 34–45. (PMID 28130345) —</w:t>
      </w:r>
      <w:r>
        <w:t xml:space="preserve"> </w:t>
      </w:r>
      <w:r>
        <w:rPr>
          <w:b/>
          <w:bCs/>
        </w:rPr>
        <w:t xml:space="preserve">PIDDosome–p53 axis (v7.3)</w:t>
      </w:r>
    </w:p>
    <w:p>
      <w:pPr>
        <w:jc w:val="both"/>
        <w:numPr>
          <w:ilvl w:val="0"/>
          <w:numId w:val="1017"/>
        </w:numPr>
      </w:pPr>
      <w:r>
        <w:t xml:space="preserve">Burigotto, M., Mattivi, A., Migliorati, D., et al. (2021). Centriolar distal appendages activate the centrosome–PIDDosome–p53 signalling axis via ANKRD26.</w:t>
      </w:r>
      <w:r>
        <w:t xml:space="preserve"> </w:t>
      </w:r>
      <w:r>
        <w:rPr>
          <w:i/>
          <w:iCs/>
        </w:rPr>
        <w:t xml:space="preserve">The EMBO Journal</w:t>
      </w:r>
      <w:r>
        <w:t xml:space="preserve">, 40, e106124. (PMID 33350486) —</w:t>
      </w:r>
      <w:r>
        <w:t xml:space="preserve"> </w:t>
      </w:r>
      <w:r>
        <w:rPr>
          <w:b/>
          <w:bCs/>
        </w:rPr>
        <w:t xml:space="preserve">ANKRD26–PIDDosome coupling (v7.3; author corrected to Burigotto in v8.0)</w:t>
      </w:r>
    </w:p>
    <w:p>
      <w:pPr>
        <w:jc w:val="both"/>
        <w:numPr>
          <w:ilvl w:val="0"/>
          <w:numId w:val="1017"/>
        </w:numPr>
      </w:pPr>
      <w:r>
        <w:t xml:space="preserve">Schuler, F., et al. (2023). Extra centrosomes induce PIDD1-mediated inflammation and immunosurveillance.</w:t>
      </w:r>
      <w:r>
        <w:t xml:space="preserve"> </w:t>
      </w:r>
      <w:r>
        <w:rPr>
          <w:i/>
          <w:iCs/>
        </w:rPr>
        <w:t xml:space="preserve">The EMBO Journal</w:t>
      </w:r>
      <w:r>
        <w:t xml:space="preserve">, 42, e114710. (PMID 37530438) —</w:t>
      </w:r>
      <w:r>
        <w:t xml:space="preserve"> </w:t>
      </w:r>
      <w:r>
        <w:rPr>
          <w:b/>
          <w:bCs/>
        </w:rPr>
        <w:t xml:space="preserve">PIDD1 inflammation (v7.3)</w:t>
      </w:r>
    </w:p>
    <w:p>
      <w:pPr>
        <w:jc w:val="both"/>
        <w:numPr>
          <w:ilvl w:val="0"/>
          <w:numId w:val="1017"/>
        </w:numPr>
      </w:pPr>
      <w:r>
        <w:t xml:space="preserve">Pistorio, V., Vatier, C., Capel, E., et al. (2026). Centriolar protein POC5 regulates human adipogenesis and cellular senescence.</w:t>
      </w:r>
      <w:r>
        <w:t xml:space="preserve"> </w:t>
      </w:r>
      <w:r>
        <w:rPr>
          <w:i/>
          <w:iCs/>
        </w:rPr>
        <w:t xml:space="preserve">FASEB Journal</w:t>
      </w:r>
      <w:r>
        <w:t xml:space="preserve">, 40, e72158. https://doi.org/10.1096/fj.202601789R (PMID 42507085) —</w:t>
      </w:r>
      <w:r>
        <w:t xml:space="preserve"> </w:t>
      </w:r>
      <w:r>
        <w:rPr>
          <w:b/>
          <w:bCs/>
        </w:rPr>
        <w:t xml:space="preserve">centriolar protein–senescence link (v7.4)</w:t>
      </w:r>
    </w:p>
    <w:p>
      <w:pPr>
        <w:jc w:val="both"/>
        <w:numPr>
          <w:ilvl w:val="0"/>
          <w:numId w:val="1017"/>
        </w:numPr>
      </w:pPr>
      <w:r>
        <w:t xml:space="preserve">Biven, C., &amp; Wang, J. (2025). Mechanisms underlying centriole stability.</w:t>
      </w:r>
      <w:r>
        <w:t xml:space="preserve"> </w:t>
      </w:r>
      <w:r>
        <w:rPr>
          <w:i/>
          <w:iCs/>
        </w:rPr>
        <w:t xml:space="preserve">Journal of Biological Chemistry</w:t>
      </w:r>
      <w:r>
        <w:t xml:space="preserve">, 301, 110869. https://doi.org/10.1016/j.jbc.2025.110869 (PMID 41167311) —</w:t>
      </w:r>
      <w:r>
        <w:t xml:space="preserve"> </w:t>
      </w:r>
      <w:r>
        <w:rPr>
          <w:b/>
          <w:bCs/>
        </w:rPr>
        <w:t xml:space="preserve">centriole stability / H_programmed basis (v7.4)</w:t>
      </w:r>
    </w:p>
    <w:p>
      <w:pPr>
        <w:jc w:val="both"/>
        <w:numPr>
          <w:ilvl w:val="0"/>
          <w:numId w:val="1017"/>
        </w:numPr>
      </w:pPr>
      <w:r>
        <w:t xml:space="preserve">Muntaqua, A., et al. (2025). Polo-like kinase 4: A molecular linchpin in cancer and its management.</w:t>
      </w:r>
      <w:r>
        <w:t xml:space="preserve"> </w:t>
      </w:r>
      <w:r>
        <w:rPr>
          <w:i/>
          <w:iCs/>
        </w:rPr>
        <w:t xml:space="preserve">iScience</w:t>
      </w:r>
      <w:r>
        <w:t xml:space="preserve">, 28, 114186. https://doi.org/10.1016/j.isci.2025.114186 (PMID 41488365) —</w:t>
      </w:r>
      <w:r>
        <w:t xml:space="preserve"> </w:t>
      </w:r>
      <w:r>
        <w:rPr>
          <w:b/>
          <w:bCs/>
        </w:rPr>
        <w:t xml:space="preserve">PLK4 oncology context (v7.4)</w:t>
      </w:r>
    </w:p>
    <w:p>
      <w:pPr>
        <w:jc w:val="both"/>
        <w:numPr>
          <w:ilvl w:val="0"/>
          <w:numId w:val="1017"/>
        </w:numPr>
      </w:pPr>
      <w:r>
        <w:t xml:space="preserve">Parsyan, A., et al. (2025). Polo-like kinase 4 (PLK4) as a therapeutic target in breast cancer.</w:t>
      </w:r>
      <w:r>
        <w:t xml:space="preserve"> </w:t>
      </w:r>
      <w:r>
        <w:rPr>
          <w:i/>
          <w:iCs/>
        </w:rPr>
        <w:t xml:space="preserve">Carcinogenesis</w:t>
      </w:r>
      <w:r>
        <w:t xml:space="preserve">, 46, bgaf067. https://doi.org/10.1093/carcin/bgaf067 (PMID 41092110) —</w:t>
      </w:r>
      <w:r>
        <w:t xml:space="preserve"> </w:t>
      </w:r>
      <w:r>
        <w:rPr>
          <w:b/>
          <w:bCs/>
        </w:rPr>
        <w:t xml:space="preserve">PLK4 target validation (v7.4)</w:t>
      </w:r>
    </w:p>
    <w:p>
      <w:pPr>
        <w:jc w:val="both"/>
        <w:numPr>
          <w:ilvl w:val="0"/>
          <w:numId w:val="1017"/>
        </w:numPr>
      </w:pPr>
      <w:r>
        <w:t xml:space="preserve">Jaiswal, A., Muntaqua, A., &amp; Ahmad, S. (2025). Polo-like kinase 4: A molecular culprit in skin cancer pathogenesis.</w:t>
      </w:r>
      <w:r>
        <w:t xml:space="preserve"> </w:t>
      </w:r>
      <w:r>
        <w:rPr>
          <w:i/>
          <w:iCs/>
        </w:rPr>
        <w:t xml:space="preserve">Cells</w:t>
      </w:r>
      <w:r>
        <w:t xml:space="preserve">, 14, 1381. https://doi.org/10.3390/cells14171381 (PMID 40940791) —</w:t>
      </w:r>
      <w:r>
        <w:t xml:space="preserve"> </w:t>
      </w:r>
      <w:r>
        <w:rPr>
          <w:b/>
          <w:bCs/>
        </w:rPr>
        <w:t xml:space="preserve">PLK4 skin cancer (v7.4)</w:t>
      </w:r>
    </w:p>
    <w:p>
      <w:pPr>
        <w:jc w:val="both"/>
        <w:numPr>
          <w:ilvl w:val="0"/>
          <w:numId w:val="1017"/>
        </w:numPr>
      </w:pPr>
      <w:r>
        <w:t xml:space="preserve">Pan, X., Song, Y., Zhang, J., et al. (2026). CDT1 induces the formation of polyploid giant cancer cells and promotes centrosome amplification.</w:t>
      </w:r>
      <w:r>
        <w:t xml:space="preserve"> </w:t>
      </w:r>
      <w:r>
        <w:rPr>
          <w:i/>
          <w:iCs/>
        </w:rPr>
        <w:t xml:space="preserve">Cancer Letters</w:t>
      </w:r>
      <w:r>
        <w:t xml:space="preserve">, 639, 218186. https://doi.org/10.1016/j.canlet.2025.218186 (PMID 41319860) —</w:t>
      </w:r>
      <w:r>
        <w:t xml:space="preserve"> </w:t>
      </w:r>
      <w:r>
        <w:rPr>
          <w:b/>
          <w:bCs/>
        </w:rPr>
        <w:t xml:space="preserve">PGCC transformation marker (v7.4)</w:t>
      </w:r>
    </w:p>
    <w:p>
      <w:pPr>
        <w:jc w:val="both"/>
        <w:numPr>
          <w:ilvl w:val="0"/>
          <w:numId w:val="1017"/>
        </w:numPr>
      </w:pPr>
      <w:r>
        <w:t xml:space="preserve">Hyle, J., Liu, Y., Fields, S., et al. (2026). Deciphering resistance mechanisms to auxin-inducible protein degradation in mammalian cells.</w:t>
      </w:r>
      <w:r>
        <w:t xml:space="preserve"> </w:t>
      </w:r>
      <w:r>
        <w:rPr>
          <w:i/>
          <w:iCs/>
        </w:rPr>
        <w:t xml:space="preserve">Journal of Biological Chemistry</w:t>
      </w:r>
      <w:r>
        <w:t xml:space="preserve">, 302, 113232. https://doi.org/10.1016/j.jbc.2026.113232 (PMID 42248454) —</w:t>
      </w:r>
      <w:r>
        <w:t xml:space="preserve"> </w:t>
      </w:r>
      <w:r>
        <w:rPr>
          <w:b/>
          <w:bCs/>
        </w:rPr>
        <w:t xml:space="preserve">AID-resistance caveat (v7.4)</w:t>
      </w:r>
    </w:p>
    <w:p>
      <w:pPr>
        <w:jc w:val="both"/>
        <w:numPr>
          <w:ilvl w:val="0"/>
          <w:numId w:val="1017"/>
        </w:numPr>
      </w:pPr>
      <w:r>
        <w:t xml:space="preserve">Patzke, S., Sauer, M., Nair, A., et al. (2024). Structural basis for the bi-specificity of USP25 and USP28 inhibitors.</w:t>
      </w:r>
      <w:r>
        <w:t xml:space="preserve"> </w:t>
      </w:r>
      <w:r>
        <w:rPr>
          <w:i/>
          <w:iCs/>
        </w:rPr>
        <w:t xml:space="preserve">EMBO Reports</w:t>
      </w:r>
      <w:r>
        <w:t xml:space="preserve">, 25, 2950–2973. https://doi.org/10.1038/s44319-024-00167-w (PMID 38816515) —</w:t>
      </w:r>
      <w:r>
        <w:t xml:space="preserve"> </w:t>
      </w:r>
      <w:r>
        <w:rPr>
          <w:b/>
          <w:bCs/>
        </w:rPr>
        <w:t xml:space="preserve">USP25/28 inhibitor structural basis (v7.4)</w:t>
      </w:r>
    </w:p>
    <w:p>
      <w:pPr>
        <w:jc w:val="both"/>
        <w:numPr>
          <w:ilvl w:val="0"/>
          <w:numId w:val="1017"/>
        </w:numPr>
      </w:pPr>
      <w:r>
        <w:t xml:space="preserve">Meyer-Gerards, C., &amp; Bazzi, H. (2025). Developmental and tissue-specific roles of mammalian centrosomes.</w:t>
      </w:r>
      <w:r>
        <w:t xml:space="preserve"> </w:t>
      </w:r>
      <w:r>
        <w:rPr>
          <w:i/>
          <w:iCs/>
        </w:rPr>
        <w:t xml:space="preserve">FEBS Journal</w:t>
      </w:r>
      <w:r>
        <w:t xml:space="preserve">, 292, 709–726. https://doi.org/10.1111/febs.17212 (PMID 38935637) —</w:t>
      </w:r>
      <w:r>
        <w:t xml:space="preserve"> </w:t>
      </w:r>
      <w:r>
        <w:rPr>
          <w:b/>
          <w:bCs/>
        </w:rPr>
        <w:t xml:space="preserve">mammalian centrosome roles review (v7.4)</w:t>
      </w:r>
    </w:p>
    <w:p>
      <w:pPr>
        <w:jc w:val="both"/>
        <w:numPr>
          <w:ilvl w:val="0"/>
          <w:numId w:val="1017"/>
        </w:numPr>
      </w:pPr>
      <w:r>
        <w:t xml:space="preserve">Ozaki, T., Chang, Y., Yang, S., et al. (2025). Centriole biogenesis is seeded by CEP152–CEP63–PCNT aggregates propagating outside the centriole.</w:t>
      </w:r>
      <w:r>
        <w:t xml:space="preserve"> </w:t>
      </w:r>
      <w:r>
        <w:rPr>
          <w:i/>
          <w:iCs/>
        </w:rPr>
        <w:t xml:space="preserve">bioRxiv</w:t>
      </w:r>
      <w:r>
        <w:t xml:space="preserve">. https://doi.org/10.1101/2025.06.26.661604 (PMID 40667363) —</w:t>
      </w:r>
      <w:r>
        <w:t xml:space="preserve"> </w:t>
      </w:r>
      <w:r>
        <w:rPr>
          <w:b/>
          <w:bCs/>
        </w:rPr>
        <w:t xml:space="preserve">aggregate-seeded de novo model; preprint, disclosed as such (v7.4)</w:t>
      </w:r>
    </w:p>
    <w:p>
      <w:pPr>
        <w:jc w:val="both"/>
        <w:numPr>
          <w:ilvl w:val="0"/>
          <w:numId w:val="1017"/>
        </w:numPr>
      </w:pPr>
      <w:r>
        <w:t xml:space="preserve">Silva, C., &amp; Cavadas, C. (2023). Primary cilia shape hallmarks of health and aging.</w:t>
      </w:r>
      <w:r>
        <w:t xml:space="preserve"> </w:t>
      </w:r>
      <w:r>
        <w:rPr>
          <w:i/>
          <w:iCs/>
        </w:rPr>
        <w:t xml:space="preserve">Trends in Molecular Medicine</w:t>
      </w:r>
      <w:r>
        <w:t xml:space="preserve">, 29(7), 567–579. https://doi.org/10.1016/j.molmed.2023.04.001 (PMID 37137787) —</w:t>
      </w:r>
      <w:r>
        <w:t xml:space="preserve"> </w:t>
      </w:r>
      <w:r>
        <w:rPr>
          <w:b/>
          <w:bCs/>
        </w:rPr>
        <w:t xml:space="preserve">cilium–aging axis (v7.5)</w:t>
      </w:r>
    </w:p>
    <w:p>
      <w:pPr>
        <w:jc w:val="both"/>
        <w:numPr>
          <w:ilvl w:val="0"/>
          <w:numId w:val="1017"/>
        </w:numPr>
      </w:pPr>
      <w:r>
        <w:t xml:space="preserve">Rivagorda, M., Romeo-Guitart, D., Blanchet, F., et al. (2025). A primary cilia–autophagy axis in hippocampal neurons is essential to maintain cognitive resilience.</w:t>
      </w:r>
      <w:r>
        <w:t xml:space="preserve"> </w:t>
      </w:r>
      <w:r>
        <w:rPr>
          <w:i/>
          <w:iCs/>
        </w:rPr>
        <w:t xml:space="preserve">Nature Aging</w:t>
      </w:r>
      <w:r>
        <w:t xml:space="preserve">, 5, 450–467. https://doi.org/10.1038/s43587-024-00791-0 (PMID 39984747) —</w:t>
      </w:r>
      <w:r>
        <w:t xml:space="preserve"> </w:t>
      </w:r>
      <w:r>
        <w:rPr>
          <w:b/>
          <w:bCs/>
        </w:rPr>
        <w:t xml:space="preserve">cilia–autophagy–brain aging (v7.5)</w:t>
      </w:r>
    </w:p>
    <w:p>
      <w:pPr>
        <w:jc w:val="both"/>
        <w:numPr>
          <w:ilvl w:val="0"/>
          <w:numId w:val="1017"/>
        </w:numPr>
      </w:pPr>
      <w:r>
        <w:t xml:space="preserve">Byrne, D. P., Clarke, C. J., Brownridge, P. J., et al. (2020). Use of the Polo-like kinase 4 (PLK4) inhibitor centrinone to investigate intracellular signalling networks using SILAC.</w:t>
      </w:r>
      <w:r>
        <w:t xml:space="preserve"> </w:t>
      </w:r>
      <w:r>
        <w:rPr>
          <w:i/>
          <w:iCs/>
        </w:rPr>
        <w:t xml:space="preserve">Biochemical Journal</w:t>
      </w:r>
      <w:r>
        <w:t xml:space="preserve">, 477(14), 2451–2475. https://doi.org/10.1042/BCJ20200309 (PMID 32501498) —</w:t>
      </w:r>
      <w:r>
        <w:t xml:space="preserve"> </w:t>
      </w:r>
      <w:r>
        <w:rPr>
          <w:b/>
          <w:bCs/>
        </w:rPr>
        <w:t xml:space="preserve">SILAC + centrinone validated combination (v7.5)</w:t>
      </w:r>
    </w:p>
    <w:p>
      <w:pPr>
        <w:jc w:val="both"/>
        <w:numPr>
          <w:ilvl w:val="0"/>
          <w:numId w:val="1017"/>
        </w:numPr>
      </w:pPr>
      <w:r>
        <w:t xml:space="preserve">Camargo Ortega, G., &amp; Götz, M. (2022). Centrosome heterogeneity in stem cells regulates cell diversity.</w:t>
      </w:r>
      <w:r>
        <w:t xml:space="preserve"> </w:t>
      </w:r>
      <w:r>
        <w:rPr>
          <w:i/>
          <w:iCs/>
        </w:rPr>
        <w:t xml:space="preserve">Trends in Cell Biology</w:t>
      </w:r>
      <w:r>
        <w:t xml:space="preserve">, 32(9), 745–755. https://doi.org/10.1016/j.tcb.2022.03.004 (PMID 35750615) —</w:t>
      </w:r>
      <w:r>
        <w:t xml:space="preserve"> </w:t>
      </w:r>
      <w:r>
        <w:rPr>
          <w:b/>
          <w:bCs/>
        </w:rPr>
        <w:t xml:space="preserve">centrosome heterogeneity consensus (v7.6)</w:t>
      </w:r>
    </w:p>
    <w:p>
      <w:pPr>
        <w:jc w:val="both"/>
        <w:numPr>
          <w:ilvl w:val="0"/>
          <w:numId w:val="1017"/>
        </w:numPr>
      </w:pPr>
      <w:r>
        <w:t xml:space="preserve">Bolkent, Ş. (2024). Cellular and molecular mechanisms of asymmetric stem cell division in tissue homeostasis.</w:t>
      </w:r>
      <w:r>
        <w:t xml:space="preserve"> </w:t>
      </w:r>
      <w:r>
        <w:rPr>
          <w:i/>
          <w:iCs/>
        </w:rPr>
        <w:t xml:space="preserve">Genes to Cells</w:t>
      </w:r>
      <w:r>
        <w:t xml:space="preserve">, 29(12), 1000–1015. https://doi.org/10.1111/gtc.13172 (PMID 39379096) —</w:t>
      </w:r>
      <w:r>
        <w:t xml:space="preserve"> </w:t>
      </w:r>
      <w:r>
        <w:rPr>
          <w:b/>
          <w:bCs/>
        </w:rPr>
        <w:t xml:space="preserve">asymmetric division mechanisms (v7.6)</w:t>
      </w:r>
    </w:p>
    <w:p>
      <w:pPr>
        <w:jc w:val="both"/>
        <w:numPr>
          <w:ilvl w:val="0"/>
          <w:numId w:val="1017"/>
        </w:numPr>
      </w:pPr>
      <w:r>
        <w:t xml:space="preserve">Chen, K., Chuang, Y.-C., &amp; Lin, H. (2026). Tubulin glutamylation: A key regulator of flagella, cilia, centrosomes, and disease pathways.</w:t>
      </w:r>
      <w:r>
        <w:t xml:space="preserve"> </w:t>
      </w:r>
      <w:r>
        <w:rPr>
          <w:i/>
          <w:iCs/>
        </w:rPr>
        <w:t xml:space="preserve">Journal of Biomedical Science</w:t>
      </w:r>
      <w:r>
        <w:t xml:space="preserve">, 33. https://doi.org/10.1186/s12929-026-01244-z (PMID 42083040) —</w:t>
      </w:r>
      <w:r>
        <w:t xml:space="preserve"> </w:t>
      </w:r>
      <w:r>
        <w:rPr>
          <w:b/>
          <w:bCs/>
        </w:rPr>
        <w:t xml:space="preserve">tubulin code on centrioles (v7.6)</w:t>
      </w:r>
    </w:p>
    <w:p>
      <w:pPr>
        <w:jc w:val="both"/>
        <w:numPr>
          <w:ilvl w:val="0"/>
          <w:numId w:val="1017"/>
        </w:numPr>
      </w:pPr>
      <w:r>
        <w:t xml:space="preserve">Ran, J., &amp; Zhou, J. (2025). Post-translational modifications in cilia and ciliopathies.</w:t>
      </w:r>
      <w:r>
        <w:t xml:space="preserve"> </w:t>
      </w:r>
      <w:r>
        <w:rPr>
          <w:i/>
          <w:iCs/>
        </w:rPr>
        <w:t xml:space="preserve">Advanced Science</w:t>
      </w:r>
      <w:r>
        <w:t xml:space="preserve">, 12. https://doi.org/10.1002/advs.202416562 (PMID 40433930) —</w:t>
      </w:r>
      <w:r>
        <w:t xml:space="preserve"> </w:t>
      </w:r>
      <w:r>
        <w:rPr>
          <w:b/>
          <w:bCs/>
        </w:rPr>
        <w:t xml:space="preserve">irreversible ciliary PTMs (v7.6)</w:t>
      </w:r>
    </w:p>
    <w:p>
      <w:pPr>
        <w:jc w:val="both"/>
        <w:numPr>
          <w:ilvl w:val="0"/>
          <w:numId w:val="1017"/>
        </w:numPr>
      </w:pPr>
      <w:r>
        <w:t xml:space="preserve">Nigg, E. A., &amp; Holland, A. J. (2018). Once and only once: Mechanisms of centriole duplication and their deregulation in disease.</w:t>
      </w:r>
      <w:r>
        <w:t xml:space="preserve"> </w:t>
      </w:r>
      <w:r>
        <w:rPr>
          <w:i/>
          <w:iCs/>
        </w:rPr>
        <w:t xml:space="preserve">Nature Reviews Molecular Cell Biology</w:t>
      </w:r>
      <w:r>
        <w:t xml:space="preserve">, 19(5), 297–312. https://doi.org/10.1038/nrm.2017.127 (PMID 29363672) —</w:t>
      </w:r>
      <w:r>
        <w:t xml:space="preserve"> </w:t>
      </w:r>
      <w:r>
        <w:rPr>
          <w:b/>
          <w:bCs/>
        </w:rPr>
        <w:t xml:space="preserve">canonical duplication biology (v7.7)</w:t>
      </w:r>
    </w:p>
    <w:p>
      <w:pPr>
        <w:jc w:val="both"/>
        <w:numPr>
          <w:ilvl w:val="0"/>
          <w:numId w:val="1017"/>
        </w:numPr>
      </w:pPr>
      <w:r>
        <w:t xml:space="preserve">Wang, L., Failler, M., Fu, W., &amp; Dynlacht, B. D. (2018). A distal centriolar protein network controls organelle maturation and asymmetry.</w:t>
      </w:r>
      <w:r>
        <w:t xml:space="preserve"> </w:t>
      </w:r>
      <w:r>
        <w:rPr>
          <w:i/>
          <w:iCs/>
        </w:rPr>
        <w:t xml:space="preserve">Nature Communications</w:t>
      </w:r>
      <w:r>
        <w:t xml:space="preserve">, 9, 3938. https://doi.org/10.1038/s41467-018-06286-y (PMID 30258116) —</w:t>
      </w:r>
      <w:r>
        <w:t xml:space="preserve"> </w:t>
      </w:r>
      <w:r>
        <w:rPr>
          <w:b/>
          <w:bCs/>
        </w:rPr>
        <w:t xml:space="preserve">distal maturation network (v7.7)</w:t>
      </w:r>
    </w:p>
    <w:p>
      <w:pPr>
        <w:jc w:val="both"/>
        <w:numPr>
          <w:ilvl w:val="0"/>
          <w:numId w:val="1017"/>
        </w:numPr>
      </w:pPr>
      <w:r>
        <w:t xml:space="preserve">Pimenta-Marques, A., Perestrelo, T., Reis-Rodrigues, P., et al. (2024). Ana1/CEP295 is an essential player in the centrosome maintenance program regulated by Polo kinase and the PCM.</w:t>
      </w:r>
      <w:r>
        <w:t xml:space="preserve"> </w:t>
      </w:r>
      <w:r>
        <w:rPr>
          <w:i/>
          <w:iCs/>
        </w:rPr>
        <w:t xml:space="preserve">EMBO Reports</w:t>
      </w:r>
      <w:r>
        <w:t xml:space="preserve">, 25, 199–226. https://doi.org/10.1038/s44319-023-00020-6 (PMID 38200359) —</w:t>
      </w:r>
      <w:r>
        <w:t xml:space="preserve"> </w:t>
      </w:r>
      <w:r>
        <w:rPr>
          <w:b/>
          <w:bCs/>
        </w:rPr>
        <w:t xml:space="preserve">centriole maturation factor CEP295/Ana1 (v7.7)</w:t>
      </w:r>
    </w:p>
    <w:p>
      <w:pPr>
        <w:jc w:val="both"/>
        <w:numPr>
          <w:ilvl w:val="0"/>
          <w:numId w:val="1017"/>
        </w:numPr>
      </w:pPr>
      <w:r>
        <w:t xml:space="preserve">Hong, D., Chuang, Y.-C., Yang, F., et al. (2025). Glutamylation of centrosomes ensures their function by recruiting microtubule nucleation factors.</w:t>
      </w:r>
      <w:r>
        <w:t xml:space="preserve"> </w:t>
      </w:r>
      <w:r>
        <w:rPr>
          <w:i/>
          <w:iCs/>
        </w:rPr>
        <w:t xml:space="preserve">The EMBO Journal</w:t>
      </w:r>
      <w:r>
        <w:t xml:space="preserve">, 44. https://doi.org/10.1038/s44318-025-00435-y (PMID 40229407) —</w:t>
      </w:r>
      <w:r>
        <w:t xml:space="preserve"> </w:t>
      </w:r>
      <w:r>
        <w:rPr>
          <w:b/>
          <w:bCs/>
        </w:rPr>
        <w:t xml:space="preserve">PolyE recruits MT-nucleation (v7.7)</w:t>
      </w:r>
    </w:p>
    <w:p>
      <w:pPr>
        <w:jc w:val="both"/>
        <w:numPr>
          <w:ilvl w:val="0"/>
          <w:numId w:val="1017"/>
        </w:numPr>
      </w:pPr>
      <w:r>
        <w:t xml:space="preserve">Kiermaier, E., Stötzel, M., Schapfl, M., &amp; Villunger, A. (2024). Amplified centrosomes — more than just a threat.</w:t>
      </w:r>
      <w:r>
        <w:t xml:space="preserve"> </w:t>
      </w:r>
      <w:r>
        <w:rPr>
          <w:i/>
          <w:iCs/>
        </w:rPr>
        <w:t xml:space="preserve">EMBO Reports</w:t>
      </w:r>
      <w:r>
        <w:t xml:space="preserve">, 25, 2989–2999. https://doi.org/10.1038/s44319-024-00260-0 (PMID 39285247) —</w:t>
      </w:r>
      <w:r>
        <w:t xml:space="preserve"> </w:t>
      </w:r>
      <w:r>
        <w:rPr>
          <w:b/>
          <w:bCs/>
        </w:rPr>
        <w:t xml:space="preserve">supernumerary centriole biology (v7.7)</w:t>
      </w:r>
    </w:p>
    <w:p>
      <w:pPr>
        <w:jc w:val="both"/>
        <w:numPr>
          <w:ilvl w:val="0"/>
          <w:numId w:val="1017"/>
        </w:numPr>
      </w:pPr>
      <w:r>
        <w:t xml:space="preserve">Mennie, A. K., Dhital, B., &amp; Ly, P. (2026). Impact of chromosomal instability and aneuploidy in cancer development.</w:t>
      </w:r>
      <w:r>
        <w:t xml:space="preserve"> </w:t>
      </w:r>
      <w:r>
        <w:rPr>
          <w:i/>
          <w:iCs/>
        </w:rPr>
        <w:t xml:space="preserve">Annual Review of Cancer Biology</w:t>
      </w:r>
      <w:r>
        <w:t xml:space="preserve">, 10. https://doi.org/10.1146/annurev-cancerbio-071124-101613 (PMID 42137044) —</w:t>
      </w:r>
      <w:r>
        <w:t xml:space="preserve"> </w:t>
      </w:r>
      <w:r>
        <w:rPr>
          <w:b/>
          <w:bCs/>
        </w:rPr>
        <w:t xml:space="preserve">CIN/aneuploidy context (v7.8)</w:t>
      </w:r>
    </w:p>
    <w:p>
      <w:pPr>
        <w:jc w:val="both"/>
        <w:numPr>
          <w:ilvl w:val="0"/>
          <w:numId w:val="1017"/>
        </w:numPr>
      </w:pPr>
      <w:r>
        <w:t xml:space="preserve">Lambrus, B. G., et al. (2016). A USP28–53BP1–p53–p21 signaling axis arrests growth after centrosome loss or prolonged mitosis.</w:t>
      </w:r>
      <w:r>
        <w:t xml:space="preserve"> </w:t>
      </w:r>
      <w:r>
        <w:rPr>
          <w:i/>
          <w:iCs/>
        </w:rPr>
        <w:t xml:space="preserve">Journal of Cell Biology</w:t>
      </w:r>
      <w:r>
        <w:t xml:space="preserve">, 214(2), 143–153. https://doi.org/10.1083/jcb.201604054 (PMID 27432896) —</w:t>
      </w:r>
      <w:r>
        <w:t xml:space="preserve"> </w:t>
      </w:r>
      <w:r>
        <w:rPr>
          <w:b/>
          <w:bCs/>
        </w:rPr>
        <w:t xml:space="preserve">surveillance axis primary source (v7.9; year 2016, not 2015)</w:t>
      </w:r>
    </w:p>
    <w:p>
      <w:pPr>
        <w:jc w:val="both"/>
        <w:numPr>
          <w:ilvl w:val="0"/>
          <w:numId w:val="1017"/>
        </w:numPr>
      </w:pPr>
      <w:r>
        <w:t xml:space="preserve">Mackenzie, K. J., Carroll, P., Martin, C.-A., et al. (2017). cGAS surveillance of micronuclei links genome instability to innate immunity.</w:t>
      </w:r>
      <w:r>
        <w:t xml:space="preserve"> </w:t>
      </w:r>
      <w:r>
        <w:rPr>
          <w:i/>
          <w:iCs/>
        </w:rPr>
        <w:t xml:space="preserve">Nature</w:t>
      </w:r>
      <w:r>
        <w:t xml:space="preserve">, 548(7668), 461–465. (PMID 28738408) —</w:t>
      </w:r>
      <w:r>
        <w:t xml:space="preserve"> </w:t>
      </w:r>
      <w:r>
        <w:rPr>
          <w:b/>
          <w:bCs/>
        </w:rPr>
        <w:t xml:space="preserve">micronucleus–cGAS–STING (v7.9)</w:t>
      </w:r>
    </w:p>
    <w:p>
      <w:pPr>
        <w:jc w:val="both"/>
        <w:numPr>
          <w:ilvl w:val="0"/>
          <w:numId w:val="1017"/>
        </w:numPr>
      </w:pPr>
      <w:r>
        <w:t xml:space="preserve">Dou, Z., Ghosh, K., Vizioli, M. G., et al. (2017). Cytoplasmic chromatin triggers inflammation in senescence and cancer.</w:t>
      </w:r>
      <w:r>
        <w:t xml:space="preserve"> </w:t>
      </w:r>
      <w:r>
        <w:rPr>
          <w:i/>
          <w:iCs/>
        </w:rPr>
        <w:t xml:space="preserve">Nature</w:t>
      </w:r>
      <w:r>
        <w:t xml:space="preserve">, 550(7676), 402–406. (PMID 28976970) —</w:t>
      </w:r>
      <w:r>
        <w:t xml:space="preserve"> </w:t>
      </w:r>
      <w:r>
        <w:rPr>
          <w:b/>
          <w:bCs/>
        </w:rPr>
        <w:t xml:space="preserve">chromatin–cGAS senescence (v7.9)</w:t>
      </w:r>
    </w:p>
    <w:p>
      <w:pPr>
        <w:jc w:val="both"/>
        <w:numPr>
          <w:ilvl w:val="0"/>
          <w:numId w:val="1017"/>
        </w:numPr>
      </w:pPr>
      <w:r>
        <w:t xml:space="preserve">Kochanski, R. S., &amp; Borisy, G. G. (1990). Mode of centriole duplication and distribution.</w:t>
      </w:r>
      <w:r>
        <w:t xml:space="preserve"> </w:t>
      </w:r>
      <w:r>
        <w:rPr>
          <w:i/>
          <w:iCs/>
        </w:rPr>
        <w:t xml:space="preserve">Journal of Cell Biology</w:t>
      </w:r>
      <w:r>
        <w:t xml:space="preserve">, 110(4), 1599–1605. (PMID 2335566) —</w:t>
      </w:r>
      <w:r>
        <w:t xml:space="preserve"> </w:t>
      </w:r>
      <w:r>
        <w:rPr>
          <w:b/>
          <w:bCs/>
        </w:rPr>
        <w:t xml:space="preserve">semi-conservative duplication, cited in Red Thread; full reference added in v8.0</w:t>
      </w:r>
    </w:p>
    <w:p>
      <w:pPr>
        <w:jc w:val="both"/>
        <w:numPr>
          <w:ilvl w:val="0"/>
          <w:numId w:val="1017"/>
        </w:numPr>
      </w:pPr>
      <w:r>
        <w:t xml:space="preserve">Evans, L. T., Anglen, T., Scott, P., et al. (2021). ANKRD26 recruits PIDD1 to centriolar distal appendages to activate the PIDDosome following centrosome amplification.</w:t>
      </w:r>
      <w:r>
        <w:t xml:space="preserve"> </w:t>
      </w:r>
      <w:r>
        <w:rPr>
          <w:i/>
          <w:iCs/>
        </w:rPr>
        <w:t xml:space="preserve">The EMBO Journal</w:t>
      </w:r>
      <w:r>
        <w:t xml:space="preserve">, 40, e106110. (PMID 33350495) —</w:t>
      </w:r>
      <w:r>
        <w:t xml:space="preserve"> </w:t>
      </w:r>
      <w:r>
        <w:rPr>
          <w:b/>
          <w:bCs/>
        </w:rPr>
        <w:t xml:space="preserve">ANKRD26–PIDD1 recruitment; basis of the PIDDosome bypass arm (v8.0)</w:t>
      </w:r>
    </w:p>
    <w:p>
      <w:pPr>
        <w:jc w:val="both"/>
        <w:numPr>
          <w:ilvl w:val="0"/>
          <w:numId w:val="1017"/>
        </w:numPr>
      </w:pPr>
      <w:r>
        <w:t xml:space="preserve">Bettencourt-Dias, M., &amp; Glover, D. M. (2007). Centrosome biogenesis and function: Centrosomics brings new understanding.</w:t>
      </w:r>
      <w:r>
        <w:t xml:space="preserve"> </w:t>
      </w:r>
      <w:r>
        <w:rPr>
          <w:i/>
          <w:iCs/>
        </w:rPr>
        <w:t xml:space="preserve">Nature Reviews Molecular Cell Biology</w:t>
      </w:r>
      <w:r>
        <w:t xml:space="preserve">, 8(6), 451–463. (PMID 17505520) —</w:t>
      </w:r>
      <w:r>
        <w:t xml:space="preserve"> </w:t>
      </w:r>
      <w:r>
        <w:rPr>
          <w:b/>
          <w:bCs/>
        </w:rPr>
        <w:t xml:space="preserve">canonical centrosome review (v8.1)</w:t>
      </w:r>
    </w:p>
    <w:p>
      <w:pPr>
        <w:jc w:val="both"/>
        <w:numPr>
          <w:ilvl w:val="0"/>
          <w:numId w:val="1017"/>
        </w:numPr>
      </w:pPr>
      <w:r>
        <w:t xml:space="preserve">Winey, M., &amp; O’Toole, E. (2014). Centriole structure.</w:t>
      </w:r>
      <w:r>
        <w:t xml:space="preserve"> </w:t>
      </w:r>
      <w:r>
        <w:rPr>
          <w:i/>
          <w:iCs/>
        </w:rPr>
        <w:t xml:space="preserve">Philosophical Transactions of the Royal Society B</w:t>
      </w:r>
      <w:r>
        <w:t xml:space="preserve">, 369, 20130457. https://doi.org/10.1098/rstb.2013.0457 (PMID 25047611) —</w:t>
      </w:r>
      <w:r>
        <w:t xml:space="preserve"> </w:t>
      </w:r>
      <w:r>
        <w:rPr>
          <w:b/>
          <w:bCs/>
        </w:rPr>
        <w:t xml:space="preserve">centriole structure/cycle (v8.1)</w:t>
      </w:r>
    </w:p>
    <w:p>
      <w:pPr>
        <w:jc w:val="both"/>
        <w:numPr>
          <w:ilvl w:val="0"/>
          <w:numId w:val="1017"/>
        </w:numPr>
      </w:pPr>
      <w:r>
        <w:t xml:space="preserve">Lambrus, B. G., &amp; Holland, A. J. (2017). A new mode of mitotic surveillance.</w:t>
      </w:r>
      <w:r>
        <w:t xml:space="preserve"> </w:t>
      </w:r>
      <w:r>
        <w:rPr>
          <w:i/>
          <w:iCs/>
        </w:rPr>
        <w:t xml:space="preserve">Trends in Cell Biology</w:t>
      </w:r>
      <w:r>
        <w:t xml:space="preserve">, 27(4), 314–321. https://doi.org/10.1016/j.tcb.2017.01.004 (PMID 28188027) —</w:t>
      </w:r>
      <w:r>
        <w:t xml:space="preserve"> </w:t>
      </w:r>
      <w:r>
        <w:rPr>
          <w:b/>
          <w:bCs/>
        </w:rPr>
        <w:t xml:space="preserve">acentriolar-cell checkpoint review; previously missing from References, added v8.1</w:t>
      </w:r>
    </w:p>
    <w:p>
      <w:pPr>
        <w:jc w:val="both"/>
        <w:numPr>
          <w:ilvl w:val="0"/>
          <w:numId w:val="1017"/>
        </w:numPr>
      </w:pPr>
      <w:r>
        <w:t xml:space="preserve">Wang, W.-J., Acehan, D., Kao, C.-H., et al. (2015). De novo centriole formation in human cells is error-prone and does not require SAS-6 self-assembly.</w:t>
      </w:r>
      <w:r>
        <w:t xml:space="preserve"> </w:t>
      </w:r>
      <w:r>
        <w:rPr>
          <w:i/>
          <w:iCs/>
        </w:rPr>
        <w:t xml:space="preserve">eLife</w:t>
      </w:r>
      <w:r>
        <w:t xml:space="preserve">, 4, e10586. https://doi.org/10.7554/eLife.10586 (PMID 26609813) —</w:t>
      </w:r>
      <w:r>
        <w:t xml:space="preserve"> </w:t>
      </w:r>
      <w:r>
        <w:rPr>
          <w:b/>
          <w:bCs/>
        </w:rPr>
        <w:t xml:space="preserve">de novo structural errors, no SAS-6 requirement (; assessor’s article number e16227 corrected to e10586)</w:t>
      </w:r>
    </w:p>
    <w:p>
      <w:pPr>
        <w:jc w:val="both"/>
        <w:pStyle w:val="BlockText"/>
      </w:pPr>
      <w:r>
        <w:rPr>
          <w:b/>
          <w:bCs/>
        </w:rPr>
        <w:t xml:space="preserve">Citation integrity.</w:t>
      </w:r>
      <w:r>
        <w:t xml:space="preserve"> </w:t>
      </w:r>
      <w:r>
        <w:rPr>
          <w:b/>
          <w:bCs/>
        </w:rPr>
        <w:t xml:space="preserve">All 88 unique PMIDs verified via NCBI E-utilities batch query (2026-08-12, 88/88). One new source verified and added (Wang 2015, eLife 4:e10586, PMID 26609813 — assessor’s article number corrected); all other cited sources already in the protocol; no fabrications:</w:t>
      </w:r>
      <w:r>
        <w:t xml:space="preserve"> </w:t>
      </w:r>
      <w:r>
        <w:t xml:space="preserve">titles, authors, journals, years all match. Corrections in v5.6: Chen &amp; Yamashita 2021 is</w:t>
      </w:r>
      <w:r>
        <w:t xml:space="preserve"> </w:t>
      </w:r>
      <w:r>
        <w:rPr>
          <w:i/>
          <w:iCs/>
        </w:rPr>
        <w:t xml:space="preserve">Open Biology</w:t>
      </w:r>
      <w:r>
        <w:t xml:space="preserve"> </w:t>
      </w:r>
      <w:r>
        <w:t xml:space="preserve">11(2):200334 (not Current Opinion); Zhang 2026 is</w:t>
      </w:r>
      <w:r>
        <w:t xml:space="preserve"> </w:t>
      </w:r>
      <w:r>
        <w:rPr>
          <w:i/>
          <w:iCs/>
        </w:rPr>
        <w:t xml:space="preserve">Journal of Controlled Release</w:t>
      </w:r>
      <w:r>
        <w:t xml:space="preserve"> </w:t>
      </w:r>
      <w:r>
        <w:t xml:space="preserve">(not Sci Transl Med);</w:t>
      </w:r>
      <w:r>
        <w:t xml:space="preserve"> </w:t>
      </w:r>
      <w:r>
        <w:rPr>
          <w:b/>
          <w:bCs/>
        </w:rPr>
        <w:t xml:space="preserve">Wong 2015 interpreted exactly per its abstract</w:t>
      </w:r>
      <w:r>
        <w:t xml:space="preserve"> </w:t>
      </w:r>
      <w:r>
        <w:t xml:space="preserve">— recovery after centriole loss demonstrated only in cancer lines; normal cells arrest irreversibly (p53-dependent), and this is now presented as the Phase 1 feasibility question, not a premise. Corrections from v4.0: (1) Tkemaladze 2023 title restored to the exact PubMed title; (2) Hong 2025 / Cummings 2025 / De Man 2026 marked</w:t>
      </w:r>
      <w:r>
        <w:t xml:space="preserve"> </w:t>
      </w:r>
      <w:r>
        <w:rPr>
          <w:b/>
          <w:bCs/>
        </w:rPr>
        <w:t xml:space="preserve">contextual</w:t>
      </w:r>
      <w:r>
        <w:t xml:space="preserve"> </w:t>
      </w:r>
      <w:r>
        <w:t xml:space="preserve">(systemic entropy measures — not centriolar evidence, included for completeness); (3) Köhrer 2023 cited as disease-associated geometry change (plasma cell disorders), not aging.</w:t>
      </w:r>
      <w:r>
        <w:t xml:space="preserve"> </w:t>
      </w:r>
      <w:r>
        <w:rPr>
          <w:b/>
          <w:bCs/>
        </w:rPr>
        <w:t xml:space="preserve">v7.0 corrections (revision):</w:t>
      </w:r>
      <w:r>
        <w:t xml:space="preserve"> </w:t>
      </w:r>
      <w:r>
        <w:t xml:space="preserve">(4) the mitotic-surveillance evidence base is now cited from primary sources — Fong 2016 (eLife) and Meitinger 2016 (JCB) — replacing any earlier non-specific attribution; (5) Yamashita 2007 DOI added (10.1126/science.1134910); (6) five new PMIDs verified (44–49; total 49 unique). Independent full re-verification of all references by a non-author is recommended before submission (per independent verification).</w:t>
      </w:r>
    </w:p>
    <w:p>
      <w:pPr>
        <w:jc w:val="both"/>
      </w:pPr>
      <w:r>
        <w:pict>
          <v:rect style="width:0;height:1.5pt" o:hralign="center" o:hrstd="t" o:hr="t"/>
        </w:pict>
      </w:r>
    </w:p>
    <w:p>
      <w:pPr>
        <w:pStyle w:val="Heading1"/>
      </w:pPr>
      <w:r>
        <w:t xml:space="preserve">PART 3 — APPENDIX: SYSTEMATIC SEARCH PROTOCOL (novelty verification)</w:t>
      </w:r>
    </w:p>
    <w:p>
      <w:pPr>
        <w:pStyle w:val="Heading1"/>
      </w:pPr>
      <w:r>
        <w:t xml:space="preserve">APPENDIX — Systematic Search Protocol (novelty verification)</w:t>
      </w:r>
    </w:p>
    <w:p>
      <w:pPr>
        <w:jc w:val="both"/>
        <w:pStyle w:val="FirstParagraph"/>
      </w:pPr>
      <w:r>
        <w:rPr>
          <w:b/>
          <w:bCs/>
        </w:rPr>
        <w:t xml:space="preserve">Entropy Reset Protocol v6.2 · Date of search: 2026-08-11 · Method: NCBI E-utilities (PubMed) + Europe PMC (incl. preprints) + Crossref</w:t>
      </w:r>
    </w:p>
    <w:p>
      <w:pPr>
        <w:pStyle w:val="Heading2"/>
      </w:pPr>
      <w:r>
        <w:t xml:space="preserve">1. Objective</w:t>
      </w:r>
    </w:p>
    <w:p>
      <w:pPr>
        <w:jc w:val="both"/>
        <w:pStyle w:val="FirstParagraph"/>
      </w:pPr>
      <w:r>
        <w:t xml:space="preserve">Verify the novelty statement:</w:t>
      </w:r>
      <w:r>
        <w:t xml:space="preserve"> </w:t>
      </w:r>
      <w:r>
        <w:rPr>
          <w:i/>
          <w:iCs/>
        </w:rPr>
        <w:t xml:space="preserve">“To our knowledge, no study has yet directly tested whether controlled centriole elimination followed by bona fide de novo biogenesis produces OSK-independent improvements in defined cellular aging phenotypes.”</w:t>
      </w:r>
    </w:p>
    <w:p>
      <w:pPr>
        <w:pStyle w:val="Heading2"/>
      </w:pPr>
      <w:r>
        <w:t xml:space="preserve">2. Databases (search expanded per earlier review)</w:t>
      </w:r>
    </w:p>
    <w:tbl>
      <w:tblPr>
        <w:tblStyle w:val="Table"/>
        <w:tblW w:w="9026" w:type="dxa"/>
        <w:tblLayout w:type="fixed"/>
        <w:tblLook w:firstRow="1" w:lastRow="0" w:firstColumn="0" w:lastColumn="0" w:noHBand="0" w:noVBand="0" w:val="0020"/>
        <w:jc w:val="center"/>
      </w:tblPr>
      <w:tblGrid>
        <w:gridCol w:w="3168"/>
        <w:gridCol w:w="3168"/>
        <w:gridCol w:w="1584"/>
      </w:tblGrid>
      <w:tr>
        <w:trPr>
          <w:tblHeader w:val="on"/>
        </w:trPr>
        <w:tc>
          <w:tcPr/>
          <w:p>
            <w:pPr>
              <w:jc w:val="both"/>
              <w:pStyle w:val="Compact"/>
            </w:pPr>
            <w:r>
              <w:t xml:space="preserve">Database</w:t>
            </w:r>
          </w:p>
        </w:tc>
        <w:tc>
          <w:tcPr/>
          <w:p>
            <w:pPr>
              <w:jc w:val="both"/>
              <w:pStyle w:val="Compact"/>
            </w:pPr>
            <w:r>
              <w:t xml:space="preserve">Coverage</w:t>
            </w:r>
          </w:p>
        </w:tc>
        <w:tc>
          <w:tcPr/>
          <w:p>
            <w:pPr>
              <w:jc w:val="both"/>
              <w:pStyle w:val="Compact"/>
            </w:pPr>
            <w:r>
              <w:t xml:space="preserve">Status</w:t>
            </w:r>
          </w:p>
        </w:tc>
      </w:tr>
      <w:tr>
        <w:tc>
          <w:tcPr/>
          <w:p>
            <w:pPr>
              <w:jc w:val="both"/>
              <w:pStyle w:val="Compact"/>
            </w:pPr>
            <w:r>
              <w:t xml:space="preserve">PubMed (NCBI E-utilities)</w:t>
            </w:r>
          </w:p>
        </w:tc>
        <w:tc>
          <w:tcPr/>
          <w:p>
            <w:pPr>
              <w:jc w:val="both"/>
              <w:pStyle w:val="Compact"/>
            </w:pPr>
            <w:r>
              <w:t xml:space="preserve">peer-reviewed</w:t>
            </w:r>
          </w:p>
        </w:tc>
        <w:tc>
          <w:tcPr/>
          <w:p>
            <w:pPr>
              <w:jc w:val="both"/>
              <w:pStyle w:val="Compact"/>
            </w:pPr>
            <w:r>
              <w:t xml:space="preserve">✅ done 2026-08-11</w:t>
            </w:r>
          </w:p>
        </w:tc>
      </w:tr>
      <w:tr>
        <w:tc>
          <w:tcPr/>
          <w:p>
            <w:pPr>
              <w:jc w:val="both"/>
              <w:pStyle w:val="Compact"/>
            </w:pPr>
            <w:r>
              <w:t xml:space="preserve">Europe PMC</w:t>
            </w:r>
          </w:p>
        </w:tc>
        <w:tc>
          <w:tcPr/>
          <w:p>
            <w:pPr>
              <w:jc w:val="both"/>
              <w:pStyle w:val="Compact"/>
            </w:pPr>
            <w:r>
              <w:t xml:space="preserve">PubMed + preprints (bioRxiv/medRxiv)</w:t>
            </w:r>
          </w:p>
        </w:tc>
        <w:tc>
          <w:tcPr/>
          <w:p>
            <w:pPr>
              <w:jc w:val="both"/>
              <w:pStyle w:val="Compact"/>
            </w:pPr>
            <w:r>
              <w:t xml:space="preserve">✅ done 2026-08-11</w:t>
            </w:r>
          </w:p>
        </w:tc>
      </w:tr>
      <w:tr>
        <w:tc>
          <w:tcPr/>
          <w:p>
            <w:pPr>
              <w:jc w:val="both"/>
              <w:pStyle w:val="Compact"/>
            </w:pPr>
            <w:r>
              <w:t xml:space="preserve">Crossref</w:t>
            </w:r>
          </w:p>
        </w:tc>
        <w:tc>
          <w:tcPr/>
          <w:p>
            <w:pPr>
              <w:jc w:val="both"/>
              <w:pStyle w:val="Compact"/>
            </w:pPr>
            <w:r>
              <w:t xml:space="preserve">global DOI metadata (journals + preprints)</w:t>
            </w:r>
          </w:p>
        </w:tc>
        <w:tc>
          <w:tcPr/>
          <w:p>
            <w:pPr>
              <w:jc w:val="both"/>
              <w:pStyle w:val="Compact"/>
            </w:pPr>
            <w:r>
              <w:t xml:space="preserve">✅ done 2026-08-11</w:t>
            </w:r>
          </w:p>
        </w:tc>
      </w:tr>
      <w:tr>
        <w:tc>
          <w:tcPr/>
          <w:p>
            <w:pPr>
              <w:jc w:val="both"/>
              <w:pStyle w:val="Compact"/>
            </w:pPr>
            <w:r>
              <w:rPr>
                <w:sz w:val="18"/>
                <w:szCs w:val="18"/>
                <w:b/>
                <w:bCs/>
              </w:rPr>
              <w:t xml:space="preserve">OpenAlex</w:t>
            </w:r>
            <w:r>
              <w:t xml:space="preserve"> </w:t>
            </w:r>
            <w:r>
              <w:t xml:space="preserve">(free, ~250M works, Scopus-level coverage)</w:t>
            </w:r>
          </w:p>
        </w:tc>
        <w:tc>
          <w:tcPr/>
          <w:p>
            <w:pPr>
              <w:jc w:val="both"/>
              <w:pStyle w:val="Compact"/>
            </w:pPr>
            <w:r>
              <w:t xml:space="preserve">journals + preprints + books</w:t>
            </w:r>
          </w:p>
        </w:tc>
        <w:tc>
          <w:tcPr/>
          <w:p>
            <w:pPr>
              <w:jc w:val="both"/>
              <w:pStyle w:val="Compact"/>
            </w:pPr>
            <w:r>
              <w:t xml:space="preserve">✅ done 2026-08-11</w:t>
            </w:r>
          </w:p>
        </w:tc>
      </w:tr>
      <w:tr>
        <w:tc>
          <w:tcPr/>
          <w:p>
            <w:pPr>
              <w:jc w:val="both"/>
              <w:pStyle w:val="Compact"/>
            </w:pPr>
            <w:r>
              <w:t xml:space="preserve">Semantic Scholar</w:t>
            </w:r>
          </w:p>
        </w:tc>
        <w:tc>
          <w:tcPr/>
          <w:p>
            <w:pPr>
              <w:jc w:val="both"/>
              <w:pStyle w:val="Compact"/>
            </w:pPr>
            <w:r>
              <w:t xml:space="preserve">—</w:t>
            </w:r>
          </w:p>
        </w:tc>
        <w:tc>
          <w:tcPr/>
          <w:p>
            <w:pPr>
              <w:jc w:val="both"/>
              <w:pStyle w:val="Compact"/>
            </w:pPr>
            <w:r>
              <w:t xml:space="preserve">⚠️ rate-limited (HTTP 429) on 2026-08-11; to be re-run pre-submission</w:t>
            </w:r>
          </w:p>
        </w:tc>
      </w:tr>
      <w:tr>
        <w:tc>
          <w:tcPr/>
          <w:p>
            <w:pPr>
              <w:jc w:val="both"/>
              <w:pStyle w:val="Compact"/>
            </w:pPr>
            <w:r>
              <w:t xml:space="preserve">Scopus / Web of Science</w:t>
            </w:r>
          </w:p>
        </w:tc>
        <w:tc>
          <w:tcPr/>
          <w:p>
            <w:pPr>
              <w:jc w:val="both"/>
              <w:pStyle w:val="Compact"/>
            </w:pPr>
            <w:r>
              <w:t xml:space="preserve">—</w:t>
            </w:r>
          </w:p>
        </w:tc>
        <w:tc>
          <w:tcPr/>
          <w:p>
            <w:pPr>
              <w:jc w:val="both"/>
              <w:pStyle w:val="Compact"/>
            </w:pPr>
            <w:r>
              <w:t xml:space="preserve">⏳ planned pre-submission (institutional access required)</w:t>
            </w:r>
          </w:p>
        </w:tc>
      </w:tr>
    </w:tbl>
    <w:p>
      <w:pPr>
        <w:pStyle w:val="Heading2"/>
      </w:pPr>
      <w:r>
        <w:t xml:space="preserve">3. Queries and results</w:t>
      </w:r>
    </w:p>
    <w:p>
      <w:pPr>
        <w:pStyle w:val="Heading3"/>
      </w:pPr>
      <w:r>
        <w:t xml:space="preserve">3.1 PubMed (2026-08-11)</w:t>
      </w:r>
    </w:p>
    <w:tbl>
      <w:tblPr>
        <w:tblStyle w:val="Table"/>
        <w:tblW w:w="9026" w:type="dxa"/>
        <w:tblLook w:firstRow="1" w:lastRow="0" w:firstColumn="0" w:lastColumn="0" w:noHBand="0" w:noVBand="0" w:val="0020"/>
        <w:jc w:val="center"/>
      </w:tblPr>
      <w:tblGrid>
        <w:gridCol w:w="1980"/>
        <w:gridCol w:w="1980"/>
        <w:gridCol w:w="1980"/>
        <w:gridCol w:w="1980"/>
      </w:tblGrid>
      <w:tr>
        <w:trPr>
          <w:tblHeader w:val="on"/>
        </w:trPr>
        <w:tc>
          <w:tcPr/>
          <w:p>
            <w:pPr>
              <w:jc w:val="both"/>
              <w:pStyle w:val="Compact"/>
            </w:pPr>
            <w:r>
              <w:t xml:space="preserve">#</w:t>
            </w:r>
          </w:p>
        </w:tc>
        <w:tc>
          <w:tcPr/>
          <w:p>
            <w:pPr>
              <w:jc w:val="both"/>
              <w:pStyle w:val="Compact"/>
            </w:pPr>
            <w:r>
              <w:t xml:space="preserve">Query</w:t>
            </w:r>
          </w:p>
        </w:tc>
        <w:tc>
          <w:tcPr/>
          <w:p>
            <w:pPr>
              <w:jc w:val="both"/>
              <w:pStyle w:val="Compact"/>
            </w:pPr>
            <w:r>
              <w:t xml:space="preserve">Hits</w:t>
            </w:r>
          </w:p>
        </w:tc>
        <w:tc>
          <w:tcPr/>
          <w:p>
            <w:pPr>
              <w:jc w:val="both"/>
              <w:pStyle w:val="Compact"/>
            </w:pPr>
            <w:r>
              <w:t xml:space="preserve">Relevant</w:t>
            </w:r>
          </w:p>
        </w:tc>
      </w:tr>
      <w:tr>
        <w:tc>
          <w:tcPr/>
          <w:p>
            <w:pPr>
              <w:jc w:val="both"/>
              <w:pStyle w:val="Compact"/>
            </w:pPr>
            <w:r>
              <w:t xml:space="preserve">1</w:t>
            </w:r>
          </w:p>
        </w:tc>
        <w:tc>
          <w:tcPr/>
          <w:p>
            <w:pPr>
              <w:jc w:val="both"/>
              <w:pStyle w:val="Compact"/>
            </w:pPr>
            <w:r>
              <w:rPr>
                <w:sz w:val="18"/>
                <w:szCs w:val="18"/>
                <w:rStyle w:val="VerbatimChar"/>
              </w:rPr>
              <w:t xml:space="preserve">centriole AND rejuvenation</w:t>
            </w:r>
          </w:p>
        </w:tc>
        <w:tc>
          <w:tcPr/>
          <w:p>
            <w:pPr>
              <w:jc w:val="both"/>
              <w:pStyle w:val="Compact"/>
            </w:pPr>
            <w:r>
              <w:t xml:space="preserve">1</w:t>
            </w:r>
          </w:p>
        </w:tc>
        <w:tc>
          <w:tcPr/>
          <w:p>
            <w:pPr>
              <w:jc w:val="both"/>
              <w:pStyle w:val="Compact"/>
            </w:pPr>
            <w:r>
              <w:t xml:space="preserve">0</w:t>
            </w:r>
          </w:p>
        </w:tc>
      </w:tr>
      <w:tr>
        <w:tc>
          <w:tcPr/>
          <w:p>
            <w:pPr>
              <w:jc w:val="both"/>
              <w:pStyle w:val="Compact"/>
            </w:pPr>
            <w:r>
              <w:t xml:space="preserve">2</w:t>
            </w:r>
          </w:p>
        </w:tc>
        <w:tc>
          <w:tcPr/>
          <w:p>
            <w:pPr>
              <w:jc w:val="both"/>
              <w:pStyle w:val="Compact"/>
            </w:pPr>
            <w:r>
              <w:rPr>
                <w:rStyle w:val="VerbatimChar"/>
              </w:rPr>
              <w:t xml:space="preserve">centriole elimination AND rejuvenation</w:t>
            </w:r>
          </w:p>
        </w:tc>
        <w:tc>
          <w:tcPr/>
          <w:p>
            <w:pPr>
              <w:jc w:val="both"/>
              <w:pStyle w:val="Compact"/>
            </w:pPr>
            <w:r>
              <w:t xml:space="preserve">0</w:t>
            </w:r>
          </w:p>
        </w:tc>
        <w:tc>
          <w:tcPr/>
          <w:p>
            <w:pPr>
              <w:jc w:val="both"/>
              <w:pStyle w:val="Compact"/>
            </w:pPr>
            <w:r>
              <w:t xml:space="preserve">—</w:t>
            </w:r>
          </w:p>
        </w:tc>
      </w:tr>
      <w:tr>
        <w:tc>
          <w:tcPr/>
          <w:p>
            <w:pPr>
              <w:jc w:val="both"/>
              <w:pStyle w:val="Compact"/>
            </w:pPr>
            <w:r>
              <w:t xml:space="preserve">3</w:t>
            </w:r>
          </w:p>
        </w:tc>
        <w:tc>
          <w:tcPr/>
          <w:p>
            <w:pPr>
              <w:jc w:val="both"/>
              <w:pStyle w:val="Compact"/>
            </w:pPr>
            <w:r>
              <w:rPr>
                <w:rStyle w:val="VerbatimChar"/>
              </w:rPr>
              <w:t xml:space="preserve">centrinone AND rejuvenation</w:t>
            </w:r>
          </w:p>
        </w:tc>
        <w:tc>
          <w:tcPr/>
          <w:p>
            <w:pPr>
              <w:jc w:val="both"/>
              <w:pStyle w:val="Compact"/>
            </w:pPr>
            <w:r>
              <w:t xml:space="preserve">0</w:t>
            </w:r>
          </w:p>
        </w:tc>
        <w:tc>
          <w:tcPr/>
          <w:p>
            <w:pPr>
              <w:jc w:val="both"/>
              <w:pStyle w:val="Compact"/>
            </w:pPr>
            <w:r>
              <w:t xml:space="preserve">—</w:t>
            </w:r>
          </w:p>
        </w:tc>
      </w:tr>
      <w:tr>
        <w:tc>
          <w:tcPr/>
          <w:p>
            <w:pPr>
              <w:jc w:val="both"/>
              <w:pStyle w:val="Compact"/>
            </w:pPr>
            <w:r>
              <w:t xml:space="preserve">4</w:t>
            </w:r>
          </w:p>
        </w:tc>
        <w:tc>
          <w:tcPr/>
          <w:p>
            <w:pPr>
              <w:jc w:val="both"/>
              <w:pStyle w:val="Compact"/>
            </w:pPr>
            <w:r>
              <w:rPr>
                <w:rStyle w:val="VerbatimChar"/>
              </w:rPr>
              <w:t xml:space="preserve">de novo centriole AND rejuvenation</w:t>
            </w:r>
          </w:p>
        </w:tc>
        <w:tc>
          <w:tcPr/>
          <w:p>
            <w:pPr>
              <w:jc w:val="both"/>
              <w:pStyle w:val="Compact"/>
            </w:pPr>
            <w:r>
              <w:t xml:space="preserve">0</w:t>
            </w:r>
          </w:p>
        </w:tc>
        <w:tc>
          <w:tcPr/>
          <w:p>
            <w:pPr>
              <w:jc w:val="both"/>
              <w:pStyle w:val="Compact"/>
            </w:pPr>
            <w:r>
              <w:t xml:space="preserve">—</w:t>
            </w:r>
          </w:p>
        </w:tc>
      </w:tr>
      <w:tr>
        <w:tc>
          <w:tcPr/>
          <w:p>
            <w:pPr>
              <w:jc w:val="both"/>
              <w:pStyle w:val="Compact"/>
            </w:pPr>
            <w:r>
              <w:t xml:space="preserve">5</w:t>
            </w:r>
          </w:p>
        </w:tc>
        <w:tc>
          <w:tcPr/>
          <w:p>
            <w:pPr>
              <w:jc w:val="both"/>
              <w:pStyle w:val="Compact"/>
            </w:pPr>
            <w:r>
              <w:rPr>
                <w:rStyle w:val="VerbatimChar"/>
              </w:rPr>
              <w:t xml:space="preserve">centriole AND reprogramming AND somatic</w:t>
            </w:r>
          </w:p>
        </w:tc>
        <w:tc>
          <w:tcPr/>
          <w:p>
            <w:pPr>
              <w:jc w:val="both"/>
              <w:pStyle w:val="Compact"/>
            </w:pPr>
            <w:r>
              <w:t xml:space="preserve">0</w:t>
            </w:r>
          </w:p>
        </w:tc>
        <w:tc>
          <w:tcPr/>
          <w:p>
            <w:pPr>
              <w:jc w:val="both"/>
              <w:pStyle w:val="Compact"/>
            </w:pPr>
            <w:r>
              <w:t xml:space="preserve">—</w:t>
            </w:r>
          </w:p>
        </w:tc>
      </w:tr>
      <w:tr>
        <w:tc>
          <w:tcPr/>
          <w:p>
            <w:pPr>
              <w:jc w:val="both"/>
              <w:pStyle w:val="Compact"/>
            </w:pPr>
            <w:r>
              <w:t xml:space="preserve">6</w:t>
            </w:r>
          </w:p>
        </w:tc>
        <w:tc>
          <w:tcPr/>
          <w:p>
            <w:pPr>
              <w:jc w:val="both"/>
              <w:pStyle w:val="Compact"/>
            </w:pPr>
            <w:r>
              <w:rPr>
                <w:rStyle w:val="VerbatimChar"/>
              </w:rPr>
              <w:t xml:space="preserve">centriole AND OSK</w:t>
            </w:r>
          </w:p>
        </w:tc>
        <w:tc>
          <w:tcPr/>
          <w:p>
            <w:pPr>
              <w:jc w:val="both"/>
              <w:pStyle w:val="Compact"/>
            </w:pPr>
            <w:r>
              <w:t xml:space="preserve">1</w:t>
            </w:r>
          </w:p>
        </w:tc>
        <w:tc>
          <w:tcPr/>
          <w:p>
            <w:pPr>
              <w:jc w:val="both"/>
              <w:pStyle w:val="Compact"/>
            </w:pPr>
            <w:r>
              <w:t xml:space="preserve">0</w:t>
            </w:r>
          </w:p>
        </w:tc>
      </w:tr>
      <w:tr>
        <w:tc>
          <w:tcPr/>
          <w:p>
            <w:pPr>
              <w:jc w:val="both"/>
              <w:pStyle w:val="Compact"/>
            </w:pPr>
            <w:r>
              <w:t xml:space="preserve">7</w:t>
            </w:r>
          </w:p>
        </w:tc>
        <w:tc>
          <w:tcPr/>
          <w:p>
            <w:pPr>
              <w:jc w:val="both"/>
              <w:pStyle w:val="Compact"/>
            </w:pPr>
            <w:r>
              <w:rPr>
                <w:rStyle w:val="VerbatimChar"/>
              </w:rPr>
              <w:t xml:space="preserve">centriole AND pluripotency AND elimination</w:t>
            </w:r>
          </w:p>
        </w:tc>
        <w:tc>
          <w:tcPr/>
          <w:p>
            <w:pPr>
              <w:jc w:val="both"/>
              <w:pStyle w:val="Compact"/>
            </w:pPr>
            <w:r>
              <w:t xml:space="preserve">1</w:t>
            </w:r>
          </w:p>
        </w:tc>
        <w:tc>
          <w:tcPr/>
          <w:p>
            <w:pPr>
              <w:jc w:val="both"/>
              <w:pStyle w:val="Compact"/>
            </w:pPr>
            <w:r>
              <w:t xml:space="preserve">0</w:t>
            </w:r>
          </w:p>
        </w:tc>
      </w:tr>
      <w:tr>
        <w:tc>
          <w:tcPr/>
          <w:p>
            <w:pPr>
              <w:jc w:val="both"/>
              <w:pStyle w:val="Compact"/>
            </w:pPr>
            <w:r>
              <w:t xml:space="preserve">8</w:t>
            </w:r>
          </w:p>
        </w:tc>
        <w:tc>
          <w:tcPr/>
          <w:p>
            <w:pPr>
              <w:jc w:val="both"/>
              <w:pStyle w:val="Compact"/>
            </w:pPr>
            <w:r>
              <w:rPr>
                <w:rStyle w:val="VerbatimChar"/>
              </w:rPr>
              <w:t xml:space="preserve">centrosome AND de novo AND aging</w:t>
            </w:r>
          </w:p>
        </w:tc>
        <w:tc>
          <w:tcPr/>
          <w:p>
            <w:pPr>
              <w:jc w:val="both"/>
              <w:pStyle w:val="Compact"/>
            </w:pPr>
            <w:r>
              <w:t xml:space="preserve">2</w:t>
            </w:r>
          </w:p>
        </w:tc>
        <w:tc>
          <w:tcPr/>
          <w:p>
            <w:pPr>
              <w:jc w:val="both"/>
              <w:pStyle w:val="Compact"/>
            </w:pPr>
            <w:r>
              <w:t xml:space="preserve">0</w:t>
            </w:r>
          </w:p>
        </w:tc>
      </w:tr>
      <w:tr>
        <w:tc>
          <w:tcPr/>
          <w:p>
            <w:pPr>
              <w:jc w:val="both"/>
              <w:pStyle w:val="Compact"/>
            </w:pPr>
            <w:r>
              <w:t xml:space="preserve">9</w:t>
            </w:r>
          </w:p>
        </w:tc>
        <w:tc>
          <w:tcPr/>
          <w:p>
            <w:pPr>
              <w:jc w:val="both"/>
              <w:pStyle w:val="Compact"/>
            </w:pPr>
            <w:r>
              <w:rPr>
                <w:rStyle w:val="VerbatimChar"/>
              </w:rPr>
              <w:t xml:space="preserve">centriole replacement AND cell aging</w:t>
            </w:r>
          </w:p>
        </w:tc>
        <w:tc>
          <w:tcPr/>
          <w:p>
            <w:pPr>
              <w:jc w:val="both"/>
              <w:pStyle w:val="Compact"/>
            </w:pPr>
            <w:r>
              <w:t xml:space="preserve">1</w:t>
            </w:r>
          </w:p>
        </w:tc>
        <w:tc>
          <w:tcPr/>
          <w:p>
            <w:pPr>
              <w:jc w:val="both"/>
              <w:pStyle w:val="Compact"/>
            </w:pPr>
            <w:r>
              <w:t xml:space="preserve">0</w:t>
            </w:r>
          </w:p>
        </w:tc>
      </w:tr>
      <w:tr>
        <w:tc>
          <w:tcPr/>
          <w:p>
            <w:pPr>
              <w:jc w:val="both"/>
              <w:pStyle w:val="Compact"/>
            </w:pPr>
            <w:r>
              <w:t xml:space="preserve">10</w:t>
            </w:r>
          </w:p>
        </w:tc>
        <w:tc>
          <w:tcPr/>
          <w:p>
            <w:pPr>
              <w:jc w:val="both"/>
              <w:pStyle w:val="Compact"/>
            </w:pPr>
            <w:r>
              <w:rPr>
                <w:rStyle w:val="VerbatimChar"/>
              </w:rPr>
              <w:t xml:space="preserve">centriole AND longevity</w:t>
            </w:r>
          </w:p>
        </w:tc>
        <w:tc>
          <w:tcPr/>
          <w:p>
            <w:pPr>
              <w:jc w:val="both"/>
              <w:pStyle w:val="Compact"/>
            </w:pPr>
            <w:r>
              <w:t xml:space="preserve">3</w:t>
            </w:r>
          </w:p>
        </w:tc>
        <w:tc>
          <w:tcPr/>
          <w:p>
            <w:pPr>
              <w:jc w:val="both"/>
              <w:pStyle w:val="Compact"/>
            </w:pPr>
            <w:r>
              <w:t xml:space="preserve">0</w:t>
            </w:r>
          </w:p>
        </w:tc>
      </w:tr>
    </w:tbl>
    <w:p>
      <w:pPr>
        <w:pStyle w:val="Heading3"/>
      </w:pPr>
      <w:r>
        <w:t xml:space="preserve">3.2 Europe PMC (2026-08-11)</w:t>
      </w:r>
    </w:p>
    <w:tbl>
      <w:tblPr>
        <w:tblStyle w:val="Table"/>
        <w:tblW w:w="9026" w:type="dxa"/>
        <w:tblLayout w:type="fixed"/>
        <w:tblLook w:firstRow="1" w:lastRow="0" w:firstColumn="0" w:lastColumn="0" w:noHBand="0" w:noVBand="0" w:val="0020"/>
        <w:jc w:val="center"/>
      </w:tblPr>
      <w:tblGrid>
        <w:gridCol w:w="3261"/>
        <w:gridCol w:w="2329"/>
        <w:gridCol w:w="2329"/>
      </w:tblGrid>
      <w:tr>
        <w:trPr>
          <w:tblHeader w:val="on"/>
        </w:trPr>
        <w:tc>
          <w:tcPr/>
          <w:p>
            <w:pPr>
              <w:jc w:val="both"/>
              <w:pStyle w:val="Compact"/>
            </w:pPr>
            <w:r>
              <w:t xml:space="preserve">Query</w:t>
            </w:r>
          </w:p>
        </w:tc>
        <w:tc>
          <w:tcPr/>
          <w:p>
            <w:pPr>
              <w:jc w:val="both"/>
              <w:pStyle w:val="Compact"/>
            </w:pPr>
            <w:r>
              <w:t xml:space="preserve">Hits</w:t>
            </w:r>
          </w:p>
        </w:tc>
        <w:tc>
          <w:tcPr/>
          <w:p>
            <w:pPr>
              <w:jc w:val="both"/>
              <w:pStyle w:val="Compact"/>
            </w:pPr>
            <w:r>
              <w:t xml:space="preserve">Relevant</w:t>
            </w:r>
          </w:p>
        </w:tc>
      </w:tr>
      <w:tr>
        <w:tc>
          <w:tcPr/>
          <w:p>
            <w:pPr>
              <w:jc w:val="both"/>
              <w:pStyle w:val="Compact"/>
            </w:pPr>
            <w:r>
              <w:rPr>
                <w:sz w:val="18"/>
                <w:szCs w:val="18"/>
                <w:rStyle w:val="VerbatimChar"/>
              </w:rPr>
              <w:t xml:space="preserve">centriole AND rejuvenation</w:t>
            </w:r>
          </w:p>
        </w:tc>
        <w:tc>
          <w:tcPr/>
          <w:p>
            <w:pPr>
              <w:jc w:val="both"/>
              <w:pStyle w:val="Compact"/>
            </w:pPr>
            <w:r>
              <w:t xml:space="preserve">28</w:t>
            </w:r>
          </w:p>
        </w:tc>
        <w:tc>
          <w:tcPr/>
          <w:p>
            <w:pPr>
              <w:jc w:val="both"/>
              <w:pStyle w:val="Compact"/>
            </w:pPr>
            <w:r>
              <w:t xml:space="preserve">0 (reviews on asymmetric division, conference posters)</w:t>
            </w:r>
          </w:p>
        </w:tc>
      </w:tr>
      <w:tr>
        <w:tc>
          <w:tcPr/>
          <w:p>
            <w:pPr>
              <w:jc w:val="both"/>
              <w:pStyle w:val="Compact"/>
            </w:pPr>
            <w:r>
              <w:rPr>
                <w:rStyle w:val="VerbatimChar"/>
              </w:rPr>
              <w:t xml:space="preserve">centriole elimination AND rejuvenation</w:t>
            </w:r>
          </w:p>
        </w:tc>
        <w:tc>
          <w:tcPr/>
          <w:p>
            <w:pPr>
              <w:jc w:val="both"/>
              <w:pStyle w:val="Compact"/>
            </w:pPr>
            <w:r>
              <w:t xml:space="preserve">10</w:t>
            </w:r>
          </w:p>
        </w:tc>
        <w:tc>
          <w:tcPr/>
          <w:p>
            <w:pPr>
              <w:jc w:val="both"/>
              <w:pStyle w:val="Compact"/>
            </w:pPr>
            <w:r>
              <w:t xml:space="preserve">0 (reviews; conference abstracts)</w:t>
            </w:r>
          </w:p>
        </w:tc>
      </w:tr>
      <w:tr>
        <w:tc>
          <w:tcPr/>
          <w:p>
            <w:pPr>
              <w:jc w:val="both"/>
              <w:pStyle w:val="Compact"/>
            </w:pPr>
            <w:r>
              <w:rPr>
                <w:rStyle w:val="VerbatimChar"/>
              </w:rPr>
              <w:t xml:space="preserve">de novo centriole AND rejuvenation</w:t>
            </w:r>
          </w:p>
        </w:tc>
        <w:tc>
          <w:tcPr/>
          <w:p>
            <w:pPr>
              <w:jc w:val="both"/>
              <w:pStyle w:val="Compact"/>
            </w:pPr>
            <w:r>
              <w:t xml:space="preserve">15</w:t>
            </w:r>
          </w:p>
        </w:tc>
        <w:tc>
          <w:tcPr/>
          <w:p>
            <w:pPr>
              <w:jc w:val="both"/>
              <w:pStyle w:val="Compact"/>
            </w:pPr>
            <w:r>
              <w:t xml:space="preserve">0</w:t>
            </w:r>
          </w:p>
        </w:tc>
      </w:tr>
      <w:tr>
        <w:tc>
          <w:tcPr/>
          <w:p>
            <w:pPr>
              <w:jc w:val="both"/>
              <w:pStyle w:val="Compact"/>
            </w:pPr>
            <w:r>
              <w:rPr>
                <w:rStyle w:val="VerbatimChar"/>
              </w:rPr>
              <w:t xml:space="preserve">centrinone AND rejuvenation</w:t>
            </w:r>
          </w:p>
        </w:tc>
        <w:tc>
          <w:tcPr/>
          <w:p>
            <w:pPr>
              <w:jc w:val="both"/>
              <w:pStyle w:val="Compact"/>
            </w:pPr>
            <w:r>
              <w:t xml:space="preserve">0</w:t>
            </w:r>
          </w:p>
        </w:tc>
        <w:tc>
          <w:tcPr/>
          <w:p>
            <w:pPr>
              <w:jc w:val="both"/>
              <w:pStyle w:val="Compact"/>
            </w:pPr>
            <w:r>
              <w:t xml:space="preserve">—</w:t>
            </w:r>
          </w:p>
        </w:tc>
      </w:tr>
      <w:tr>
        <w:tc>
          <w:tcPr/>
          <w:p>
            <w:pPr>
              <w:jc w:val="both"/>
              <w:pStyle w:val="Compact"/>
            </w:pPr>
            <w:r>
              <w:rPr>
                <w:b/>
                <w:bCs/>
              </w:rPr>
              <w:t xml:space="preserve">Preprints</w:t>
            </w:r>
            <w:r>
              <w:t xml:space="preserve"> </w:t>
            </w:r>
            <w:r>
              <w:t xml:space="preserve">(</w:t>
            </w:r>
            <w:r>
              <w:rPr>
                <w:rStyle w:val="VerbatimChar"/>
              </w:rPr>
              <w:t xml:space="preserve">AND SRC:PPR</w:t>
            </w:r>
            <w:r>
              <w:t xml:space="preserve">):</w:t>
            </w:r>
            <w:r>
              <w:t xml:space="preserve"> </w:t>
            </w:r>
            <w:r>
              <w:rPr>
                <w:rStyle w:val="VerbatimChar"/>
              </w:rPr>
              <w:t xml:space="preserve">centriole AND rejuvenation</w:t>
            </w:r>
          </w:p>
        </w:tc>
        <w:tc>
          <w:tcPr/>
          <w:p>
            <w:pPr>
              <w:jc w:val="both"/>
              <w:pStyle w:val="Compact"/>
            </w:pPr>
            <w:r>
              <w:t xml:space="preserve">1</w:t>
            </w:r>
          </w:p>
        </w:tc>
        <w:tc>
          <w:tcPr/>
          <w:p>
            <w:pPr>
              <w:jc w:val="both"/>
              <w:pStyle w:val="Compact"/>
            </w:pPr>
            <w:r>
              <w:rPr>
                <w:b/>
                <w:bCs/>
              </w:rPr>
              <w:t xml:space="preserve">1 — author’s own MCARA preprint (2026)</w:t>
            </w:r>
            <w:r>
              <w:t xml:space="preserve"> </w:t>
            </w:r>
            <w:r>
              <w:t xml:space="preserve">— theoretical, no experiment; excluded as non-test</w:t>
            </w:r>
          </w:p>
        </w:tc>
      </w:tr>
      <w:tr>
        <w:tc>
          <w:tcPr/>
          <w:p>
            <w:pPr>
              <w:jc w:val="both"/>
              <w:pStyle w:val="Compact"/>
            </w:pPr>
            <w:r>
              <w:t xml:space="preserve">Preprints:</w:t>
            </w:r>
            <w:r>
              <w:t xml:space="preserve"> </w:t>
            </w:r>
            <w:r>
              <w:rPr>
                <w:rStyle w:val="VerbatimChar"/>
              </w:rPr>
              <w:t xml:space="preserve">centriole elimination AND SRC:PPR</w:t>
            </w:r>
          </w:p>
        </w:tc>
        <w:tc>
          <w:tcPr/>
          <w:p>
            <w:pPr>
              <w:jc w:val="both"/>
              <w:pStyle w:val="Compact"/>
            </w:pPr>
            <w:r>
              <w:t xml:space="preserve">19</w:t>
            </w:r>
          </w:p>
        </w:tc>
        <w:tc>
          <w:tcPr/>
          <w:p>
            <w:pPr>
              <w:jc w:val="both"/>
              <w:pStyle w:val="Compact"/>
            </w:pPr>
            <w:r>
              <w:t xml:space="preserve">1 — author’s own</w:t>
            </w:r>
            <w:r>
              <w:t xml:space="preserve"> </w:t>
            </w:r>
            <w:r>
              <w:t xml:space="preserve">“Centriole Elimination as a Gateway to a New Differentiation State”</w:t>
            </w:r>
            <w:r>
              <w:t xml:space="preserve"> </w:t>
            </w:r>
            <w:r>
              <w:t xml:space="preserve">(2026) — protocol, no data; excluded as non-test. Remaining 18: non-relevant (axoneme elimination in</w:t>
            </w:r>
            <w:r>
              <w:t xml:space="preserve"> </w:t>
            </w:r>
            <w:r>
              <w:rPr>
                <w:i/>
                <w:iCs/>
              </w:rPr>
              <w:t xml:space="preserve">Naegleria</w:t>
            </w:r>
            <w:r>
              <w:t xml:space="preserve">; MOCT in protists)</w:t>
            </w:r>
          </w:p>
        </w:tc>
      </w:tr>
    </w:tbl>
    <w:p>
      <w:pPr>
        <w:pStyle w:val="Heading3"/>
      </w:pPr>
      <w:r>
        <w:t xml:space="preserve">3.3 OpenAlex (2026-08-11) — Scopus-level coverage, free</w:t>
      </w:r>
    </w:p>
    <w:tbl>
      <w:tblPr>
        <w:tblStyle w:val="Table"/>
        <w:tblW w:w="9026" w:type="dxa"/>
        <w:tblLayout w:type="fixed"/>
        <w:tblLook w:firstRow="1" w:lastRow="0" w:firstColumn="0" w:lastColumn="0" w:noHBand="0" w:noVBand="0" w:val="0020"/>
        <w:jc w:val="center"/>
      </w:tblPr>
      <w:tblGrid>
        <w:gridCol w:w="3261"/>
        <w:gridCol w:w="2329"/>
        <w:gridCol w:w="2329"/>
      </w:tblGrid>
      <w:tr>
        <w:trPr>
          <w:tblHeader w:val="on"/>
        </w:trPr>
        <w:tc>
          <w:tcPr/>
          <w:p>
            <w:pPr>
              <w:jc w:val="both"/>
              <w:pStyle w:val="Compact"/>
            </w:pPr>
            <w:r>
              <w:t xml:space="preserve">Query</w:t>
            </w:r>
          </w:p>
        </w:tc>
        <w:tc>
          <w:tcPr/>
          <w:p>
            <w:pPr>
              <w:jc w:val="both"/>
              <w:pStyle w:val="Compact"/>
            </w:pPr>
            <w:r>
              <w:t xml:space="preserve">Works</w:t>
            </w:r>
          </w:p>
        </w:tc>
        <w:tc>
          <w:tcPr/>
          <w:p>
            <w:pPr>
              <w:jc w:val="both"/>
              <w:pStyle w:val="Compact"/>
            </w:pPr>
            <w:r>
              <w:t xml:space="preserve">Relevant</w:t>
            </w:r>
          </w:p>
        </w:tc>
      </w:tr>
      <w:tr>
        <w:tc>
          <w:tcPr/>
          <w:p>
            <w:pPr>
              <w:jc w:val="both"/>
              <w:pStyle w:val="Compact"/>
            </w:pPr>
            <w:r>
              <w:rPr>
                <w:sz w:val="18"/>
                <w:szCs w:val="18"/>
                <w:rStyle w:val="VerbatimChar"/>
              </w:rPr>
              <w:t xml:space="preserve">centriole rejuvenation</w:t>
            </w:r>
          </w:p>
        </w:tc>
        <w:tc>
          <w:tcPr/>
          <w:p>
            <w:pPr>
              <w:jc w:val="both"/>
              <w:pStyle w:val="Compact"/>
            </w:pPr>
            <w:r>
              <w:t xml:space="preserve">243</w:t>
            </w:r>
          </w:p>
        </w:tc>
        <w:tc>
          <w:tcPr/>
          <w:p>
            <w:pPr>
              <w:jc w:val="both"/>
              <w:pStyle w:val="Compact"/>
            </w:pPr>
            <w:r>
              <w:t xml:space="preserve">0 direct tests (phrase-level; top hits unrelated:</w:t>
            </w:r>
            <w:r>
              <w:t xml:space="preserve"> </w:t>
            </w:r>
            <w:r>
              <w:t xml:space="preserve">“Rejuvenation Biotechnology”</w:t>
            </w:r>
            <w:r>
              <w:t xml:space="preserve">;</w:t>
            </w:r>
            <w:r>
              <w:t xml:space="preserve"> </w:t>
            </w:r>
            <w:r>
              <w:t xml:space="preserve">“Centrioles and Cellular Differentiation”</w:t>
            </w:r>
            <w:r>
              <w:t xml:space="preserve">)</w:t>
            </w:r>
          </w:p>
        </w:tc>
      </w:tr>
      <w:tr>
        <w:tc>
          <w:tcPr/>
          <w:p>
            <w:pPr>
              <w:jc w:val="both"/>
              <w:pStyle w:val="Compact"/>
            </w:pPr>
            <w:r>
              <w:rPr>
                <w:rStyle w:val="VerbatimChar"/>
              </w:rPr>
              <w:t xml:space="preserve">centriole elimination rejuvenation</w:t>
            </w:r>
          </w:p>
        </w:tc>
        <w:tc>
          <w:tcPr/>
          <w:p>
            <w:pPr>
              <w:jc w:val="both"/>
              <w:pStyle w:val="Compact"/>
            </w:pPr>
            <w:r>
              <w:t xml:space="preserve">144</w:t>
            </w:r>
          </w:p>
        </w:tc>
        <w:tc>
          <w:tcPr/>
          <w:p>
            <w:pPr>
              <w:jc w:val="both"/>
              <w:pStyle w:val="Compact"/>
            </w:pPr>
            <w:r>
              <w:t xml:space="preserve">0 direct tests (top hit:</w:t>
            </w:r>
            <w:r>
              <w:t xml:space="preserve"> </w:t>
            </w:r>
            <w:r>
              <w:t xml:space="preserve">“Centrioles as Structural Damage Reservoirs”</w:t>
            </w:r>
            <w:r>
              <w:t xml:space="preserve"> </w:t>
            </w:r>
            <w:r>
              <w:t xml:space="preserve">— theory, no experiment)</w:t>
            </w:r>
          </w:p>
        </w:tc>
      </w:tr>
      <w:tr>
        <w:tc>
          <w:tcPr/>
          <w:p>
            <w:pPr>
              <w:jc w:val="both"/>
              <w:pStyle w:val="Compact"/>
            </w:pPr>
            <w:r>
              <w:rPr>
                <w:rStyle w:val="VerbatimChar"/>
              </w:rPr>
              <w:t xml:space="preserve">de novo centriole aging</w:t>
            </w:r>
          </w:p>
        </w:tc>
        <w:tc>
          <w:tcPr/>
          <w:p>
            <w:pPr>
              <w:jc w:val="both"/>
              <w:pStyle w:val="Compact"/>
            </w:pPr>
            <w:r>
              <w:t xml:space="preserve">1,745</w:t>
            </w:r>
          </w:p>
        </w:tc>
        <w:tc>
          <w:tcPr/>
          <w:p>
            <w:pPr>
              <w:jc w:val="both"/>
              <w:pStyle w:val="Compact"/>
            </w:pPr>
            <w:r>
              <w:t xml:space="preserve">0 direct tests (reviews of centriole/cilium biogenesis)</w:t>
            </w:r>
          </w:p>
        </w:tc>
      </w:tr>
      <w:tr>
        <w:tc>
          <w:tcPr/>
          <w:p>
            <w:pPr>
              <w:jc w:val="both"/>
              <w:pStyle w:val="Compact"/>
            </w:pPr>
            <w:r>
              <w:rPr>
                <w:rStyle w:val="VerbatimChar"/>
              </w:rPr>
              <w:t xml:space="preserve">centrinone rejuvenation</w:t>
            </w:r>
          </w:p>
        </w:tc>
        <w:tc>
          <w:tcPr/>
          <w:p>
            <w:pPr>
              <w:jc w:val="both"/>
              <w:pStyle w:val="Compact"/>
            </w:pPr>
            <w:r>
              <w:t xml:space="preserve">15</w:t>
            </w:r>
          </w:p>
        </w:tc>
        <w:tc>
          <w:tcPr/>
          <w:p>
            <w:pPr>
              <w:jc w:val="both"/>
              <w:pStyle w:val="Compact"/>
            </w:pPr>
            <w:r>
              <w:t xml:space="preserve">0 direct tests</w:t>
            </w:r>
          </w:p>
        </w:tc>
      </w:tr>
    </w:tbl>
    <w:p>
      <w:pPr>
        <w:pStyle w:val="Heading3"/>
      </w:pPr>
      <w:r>
        <w:t xml:space="preserve">3.4 Crossref (2026-08-11)</w:t>
      </w:r>
    </w:p>
    <w:tbl>
      <w:tblPr>
        <w:tblStyle w:val="Table"/>
        <w:tblW w:w="9026" w:type="dxa"/>
        <w:tblLayout w:type="fixed"/>
        <w:tblLook w:firstRow="1" w:lastRow="0" w:firstColumn="0" w:lastColumn="0" w:noHBand="0" w:noVBand="0" w:val="0020"/>
        <w:jc w:val="center"/>
      </w:tblPr>
      <w:tblGrid>
        <w:gridCol w:w="3261"/>
        <w:gridCol w:w="2329"/>
        <w:gridCol w:w="2329"/>
      </w:tblGrid>
      <w:tr>
        <w:trPr>
          <w:tblHeader w:val="on"/>
        </w:trPr>
        <w:tc>
          <w:tcPr/>
          <w:p>
            <w:pPr>
              <w:jc w:val="both"/>
              <w:pStyle w:val="Compact"/>
            </w:pPr>
            <w:r>
              <w:t xml:space="preserve">Query</w:t>
            </w:r>
          </w:p>
        </w:tc>
        <w:tc>
          <w:tcPr/>
          <w:p>
            <w:pPr>
              <w:jc w:val="both"/>
              <w:pStyle w:val="Compact"/>
            </w:pPr>
            <w:r>
              <w:t xml:space="preserve">Total</w:t>
            </w:r>
          </w:p>
        </w:tc>
        <w:tc>
          <w:tcPr/>
          <w:p>
            <w:pPr>
              <w:jc w:val="both"/>
              <w:pStyle w:val="Compact"/>
            </w:pPr>
            <w:r>
              <w:t xml:space="preserve">Relevant</w:t>
            </w:r>
          </w:p>
        </w:tc>
      </w:tr>
      <w:tr>
        <w:tc>
          <w:tcPr/>
          <w:p>
            <w:pPr>
              <w:jc w:val="both"/>
              <w:pStyle w:val="Compact"/>
            </w:pPr>
            <w:r>
              <w:rPr>
                <w:sz w:val="18"/>
                <w:szCs w:val="18"/>
                <w:rStyle w:val="VerbatimChar"/>
              </w:rPr>
              <w:t xml:space="preserve">centriole rejuvenation</w:t>
            </w:r>
          </w:p>
        </w:tc>
        <w:tc>
          <w:tcPr/>
          <w:p>
            <w:pPr>
              <w:jc w:val="both"/>
              <w:pStyle w:val="Compact"/>
            </w:pPr>
            <w:r>
              <w:t xml:space="preserve">13,024 (full-text phrase matches)</w:t>
            </w:r>
          </w:p>
        </w:tc>
        <w:tc>
          <w:tcPr/>
          <w:p>
            <w:pPr>
              <w:jc w:val="both"/>
              <w:pStyle w:val="Compact"/>
            </w:pPr>
            <w:r>
              <w:t xml:space="preserve">0 direct tests (top hits: 2010</w:t>
            </w:r>
            <w:r>
              <w:t xml:space="preserve"> </w:t>
            </w:r>
            <w:r>
              <w:t xml:space="preserve">“Centriole, Differentiation, and Senescence”</w:t>
            </w:r>
            <w:r>
              <w:t xml:space="preserve">; author’s gametogenesis preprint)</w:t>
            </w:r>
          </w:p>
        </w:tc>
      </w:tr>
      <w:tr>
        <w:tc>
          <w:tcPr/>
          <w:p>
            <w:pPr>
              <w:jc w:val="both"/>
              <w:pStyle w:val="Compact"/>
            </w:pPr>
            <w:r>
              <w:rPr>
                <w:rStyle w:val="VerbatimChar"/>
              </w:rPr>
              <w:t xml:space="preserve">centriole elimination rejuvenation</w:t>
            </w:r>
          </w:p>
        </w:tc>
        <w:tc>
          <w:tcPr/>
          <w:p>
            <w:pPr>
              <w:jc w:val="both"/>
              <w:pStyle w:val="Compact"/>
            </w:pPr>
            <w:r>
              <w:t xml:space="preserve">83,615</w:t>
            </w:r>
          </w:p>
        </w:tc>
        <w:tc>
          <w:tcPr/>
          <w:p>
            <w:pPr>
              <w:jc w:val="both"/>
              <w:pStyle w:val="Compact"/>
            </w:pPr>
            <w:r>
              <w:t xml:space="preserve">0 direct tests</w:t>
            </w:r>
          </w:p>
        </w:tc>
      </w:tr>
    </w:tbl>
    <w:p>
      <w:pPr>
        <w:jc w:val="both"/>
        <w:pStyle w:val="BlockText"/>
      </w:pPr>
      <w:r>
        <w:rPr>
          <w:b/>
          <w:bCs/>
        </w:rPr>
        <w:t xml:space="preserve">Transparency note (per earlier review):</w:t>
      </w:r>
      <w:r>
        <w:t xml:space="preserve"> </w:t>
      </w:r>
      <w:r>
        <w:t xml:space="preserve">Crossref full-text counts are phrase-level and not informative alone; relevance assessed on the top-10 titles per query. Two hits are</w:t>
      </w:r>
      <w:r>
        <w:t xml:space="preserve"> </w:t>
      </w:r>
      <w:r>
        <w:rPr>
          <w:b/>
          <w:bCs/>
        </w:rPr>
        <w:t xml:space="preserve">the author’s own preprints</w:t>
      </w:r>
      <w:r>
        <w:t xml:space="preserve"> </w:t>
      </w:r>
      <w:r>
        <w:t xml:space="preserve">(MCARA; Centriole Elimination Gateway) — they are listed here explicitly, are theoretical/protocol-only (no experimental test of the aging-phenotype question), and are excluded from the novelty claim. Scopus/WoS to be run pre-submission.</w:t>
      </w:r>
    </w:p>
    <w:p>
      <w:pPr>
        <w:pStyle w:val="Heading2"/>
      </w:pPr>
      <w:r>
        <w:t xml:space="preserve">4. DOI cross-check of the 47 verified references (per earlier review)</w:t>
      </w:r>
    </w:p>
    <w:p>
      <w:pPr>
        <w:jc w:val="both"/>
        <w:pStyle w:val="FirstParagraph"/>
      </w:pPr>
      <w:r>
        <w:t xml:space="preserve">All 47 PMIDs verified via E-utilities batch (2026-08-11). Of these,</w:t>
      </w:r>
      <w:r>
        <w:t xml:space="preserve"> </w:t>
      </w:r>
      <w:r>
        <w:rPr>
          <w:b/>
          <w:bCs/>
        </w:rPr>
        <w:t xml:space="preserve">39 have DOI records in PubMed</w:t>
      </w:r>
      <w:r>
        <w:t xml:space="preserve">; 8 are pre-DOI-era (1991–2009) and carry no PubMed DOI (e.g., Szöllosi 1991, PMID 1756312; Khodjakov 2002, PMID 12356862; Yamashita 2007, PMID 17255513 — DOI resolvable via publisher/journals directly: 10.1083/jcb.200205102; 10.1126/science.1134910). DOI table available on request; independent four-eyes re-check by a non-author recommended pre-submission.</w:t>
      </w:r>
    </w:p>
    <w:p>
      <w:pPr>
        <w:pStyle w:val="Heading2"/>
      </w:pPr>
      <w:r>
        <w:t xml:space="preserve">5. Inclusion/exclusion (PRISMA-style)</w:t>
      </w:r>
    </w:p>
    <w:p>
      <w:pPr>
        <w:jc w:val="both"/>
        <w:pStyle w:val="Compact"/>
        <w:numPr>
          <w:ilvl w:val="0"/>
          <w:numId w:val="1018"/>
        </w:numPr>
      </w:pPr>
      <w:r>
        <w:rPr>
          <w:b/>
          <w:bCs/>
        </w:rPr>
        <w:t xml:space="preserve">Included:</w:t>
      </w:r>
      <w:r>
        <w:t xml:space="preserve"> </w:t>
      </w:r>
      <w:r>
        <w:t xml:space="preserve">experimental centriole/centrosome removal + post-removal aging/rejuvenation readout + somatic cells.</w:t>
      </w:r>
    </w:p>
    <w:p>
      <w:pPr>
        <w:jc w:val="both"/>
        <w:pStyle w:val="Compact"/>
        <w:numPr>
          <w:ilvl w:val="0"/>
          <w:numId w:val="1018"/>
        </w:numPr>
      </w:pPr>
      <w:r>
        <w:rPr>
          <w:b/>
          <w:bCs/>
        </w:rPr>
        <w:t xml:space="preserve">Excluded (documented):</w:t>
      </w:r>
      <w:r>
        <w:t xml:space="preserve"> </w:t>
      </w:r>
      <w:r>
        <w:t xml:space="preserve">removal without aging readouts (Khodjakov, La Terra, Uetake, Wong); germline/meiotic elimination; pluripotency-only (Renzova); theory-only preprints (author’s own).</w:t>
      </w:r>
    </w:p>
    <w:p>
      <w:pPr>
        <w:pStyle w:val="Heading2"/>
      </w:pPr>
      <w:r>
        <w:t xml:space="preserve">6. Conclusion</w:t>
      </w:r>
    </w:p>
    <w:p>
      <w:pPr>
        <w:jc w:val="both"/>
        <w:pStyle w:val="FirstParagraph"/>
      </w:pPr>
      <w:r>
        <w:rPr>
          <w:b/>
          <w:bCs/>
        </w:rPr>
        <w:t xml:space="preserve">Search completion status (per earlier review):</w:t>
      </w:r>
      <w:r>
        <w:t xml:space="preserve"> </w:t>
      </w:r>
      <w:r>
        <w:t xml:space="preserve">PubMed ✅ · Europe PMC (incl. preprints) ✅ · Crossref ✅ ·</w:t>
      </w:r>
      <w:r>
        <w:t xml:space="preserve"> </w:t>
      </w:r>
      <w:r>
        <w:rPr>
          <w:b/>
          <w:bCs/>
        </w:rPr>
        <w:t xml:space="preserve">OpenAlex ✅ (2026-08-11)</w:t>
      </w:r>
      <w:r>
        <w:t xml:space="preserve"> </w:t>
      </w:r>
      <w:r>
        <w:t xml:space="preserve">· Semantic Scholar ⚠️ rate-limited (re-run planned) · Scopus/WoS ⏳ (institutional access; OpenAlex covers equivalent indexing for the novelty screen). The novelty claim is supported across all completed databases; final Scopus/WoS leg is scheduled before submission.</w:t>
      </w:r>
      <w:r>
        <w:t xml:space="preserve"> </w:t>
      </w:r>
      <w:r>
        <w:t xml:space="preserve">The novelty claim is supported for the</w:t>
      </w:r>
      <w:r>
        <w:t xml:space="preserve"> </w:t>
      </w:r>
      <w:r>
        <w:rPr>
          <w:i/>
          <w:iCs/>
        </w:rPr>
        <w:t xml:space="preserve">specific combination</w:t>
      </w:r>
      <w:r>
        <w:t xml:space="preserve"> </w:t>
      </w:r>
      <w:r>
        <w:t xml:space="preserve">(aging readouts + verified de novo origin + OSK factorial in somatic cells) across PubMed, Europe PMC (incl. preprints), and Crossref. It is</w:t>
      </w:r>
      <w:r>
        <w:t xml:space="preserve"> </w:t>
      </w:r>
      <w:r>
        <w:rPr>
          <w:b/>
          <w:bCs/>
        </w:rPr>
        <w:t xml:space="preserve">not</w:t>
      </w:r>
      <w:r>
        <w:t xml:space="preserve"> </w:t>
      </w:r>
      <w:r>
        <w:t xml:space="preserve">claimed that elimination or de novo assembly are novel per se — the four prototypes solved those pieces separately (§3.4–3.5 of the protocol).</w:t>
      </w:r>
    </w:p>
    <w:p>
      <w:pPr>
        <w:jc w:val="both"/>
      </w:pPr>
      <w:r>
        <w:pict>
          <v:rect style="width:0;height:1.5pt" o:hralign="center" o:hrstd="t" o:hr="t"/>
        </w:pict>
      </w:r>
    </w:p>
    <w:p>
      <w:pPr>
        <w:pStyle w:val="Heading1"/>
      </w:pPr>
      <w:r>
        <w:t xml:space="preserve">Figures</w:t>
      </w:r>
    </w:p>
    <w:p>
      <w:pPr>
        <w:jc w:val="center"/>
        <w:pStyle w:val="CaptionedFigure"/>
      </w:pPr>
      <w:r>
        <w:drawing>
          <wp:inline>
            <wp:extent cx="5334000" cy="2318838"/>
            <wp:effectExtent b="0" l="0" r="0" t="0"/>
            <wp:docPr descr="Figure 1 — The Centrosome as a Unidirectional Ratchet of Cellular Identity and Aging" title="" id="89" name="Picture"/>
            <a:graphic>
              <a:graphicData uri="http://schemas.openxmlformats.org/drawingml/2006/picture">
                <pic:pic>
                  <pic:nvPicPr>
                    <pic:cNvPr descr="/home/oem/Desktop/Marketing/ARGUS-OS3/docs/FIGURE_1_Ratchet_Model.png" id="90" name="Picture"/>
                    <pic:cNvPicPr>
                      <a:picLocks noChangeArrowheads="1" noChangeAspect="1"/>
                    </pic:cNvPicPr>
                  </pic:nvPicPr>
                  <pic:blipFill>
                    <a:blip r:embed="rId88"/>
                    <a:stretch>
                      <a:fillRect/>
                    </a:stretch>
                  </pic:blipFill>
                  <pic:spPr bwMode="auto">
                    <a:xfrm>
                      <a:off x="0" y="0"/>
                      <a:ext cx="5334000" cy="2318838"/>
                    </a:xfrm>
                    <a:prstGeom prst="rect">
                      <a:avLst/>
                    </a:prstGeom>
                    <a:noFill/>
                    <a:ln w="9525">
                      <a:noFill/>
                      <a:headEnd/>
                      <a:tailEnd/>
                    </a:ln>
                  </pic:spPr>
                </pic:pic>
              </a:graphicData>
            </a:graphic>
          </wp:inline>
        </w:drawing>
      </w:r>
    </w:p>
    <w:p>
      <w:pPr>
        <w:jc w:val="both"/>
        <w:pStyle w:val="ImageCaption"/>
      </w:pPr>
      <w:r>
        <w:t xml:space="preserve">Figure 1 — The Centrosome as a Unidirectional Ratchet of Cellular Identity and Aging</w:t>
      </w:r>
    </w:p>
    <w:p>
      <w:pPr>
        <w:jc w:val="both"/>
        <w:pStyle w:val="BodyText"/>
      </w:pPr>
      <w:r>
        <w:rPr>
          <w:b/>
          <w:bCs/>
        </w:rPr>
        <w:t xml:space="preserve">Figure 1 — The Centrosome as a Unidirectional Ratchet of Cellular Identity and Aging.</w:t>
      </w:r>
      <w:r>
        <w:t xml:space="preserve"> </w:t>
      </w:r>
      <w:r>
        <w:t xml:space="preserve">(A) Pluripotent cell: ratchet released down upon centriole loss (Renzova 2018). (B) Somatic cell: ratchet released to plasticity, then re-locked younger (this protocol).</w:t>
      </w:r>
    </w:p>
    <w:p>
      <w:pPr>
        <w:jc w:val="center"/>
        <w:pStyle w:val="CaptionedFigure"/>
      </w:pPr>
      <w:r>
        <w:drawing>
          <wp:inline>
            <wp:extent cx="5334000" cy="2648765"/>
            <wp:effectExtent b="0" l="0" r="0" t="0"/>
            <wp:docPr descr="Figure 2 — Experimental Design: 2×2 Factorial with Override and Control Arms" title="" id="92" name="Picture"/>
            <a:graphic>
              <a:graphicData uri="http://schemas.openxmlformats.org/drawingml/2006/picture">
                <pic:pic>
                  <pic:nvPicPr>
                    <pic:cNvPr descr="/home/oem/Desktop/Marketing/ARGUS-OS3/docs/FIGURE_2_Experimental_Design.png" id="93" name="Picture"/>
                    <pic:cNvPicPr>
                      <a:picLocks noChangeArrowheads="1" noChangeAspect="1"/>
                    </pic:cNvPicPr>
                  </pic:nvPicPr>
                  <pic:blipFill>
                    <a:blip r:embed="rId91"/>
                    <a:stretch>
                      <a:fillRect/>
                    </a:stretch>
                  </pic:blipFill>
                  <pic:spPr bwMode="auto">
                    <a:xfrm>
                      <a:off x="0" y="0"/>
                      <a:ext cx="5334000" cy="2648765"/>
                    </a:xfrm>
                    <a:prstGeom prst="rect">
                      <a:avLst/>
                    </a:prstGeom>
                    <a:noFill/>
                    <a:ln w="9525">
                      <a:noFill/>
                      <a:headEnd/>
                      <a:tailEnd/>
                    </a:ln>
                  </pic:spPr>
                </pic:pic>
              </a:graphicData>
            </a:graphic>
          </wp:inline>
        </w:drawing>
      </w:r>
    </w:p>
    <w:p>
      <w:pPr>
        <w:jc w:val="both"/>
        <w:pStyle w:val="ImageCaption"/>
      </w:pPr>
      <w:r>
        <w:t xml:space="preserve">Figure 2 — Experimental Design: 2×2 Factorial with Override and Control Arms</w:t>
      </w:r>
    </w:p>
    <w:p>
      <w:pPr>
        <w:jc w:val="both"/>
        <w:pStyle w:val="BodyText"/>
      </w:pPr>
      <w:r>
        <w:rPr>
          <w:b/>
          <w:bCs/>
        </w:rPr>
        <w:t xml:space="preserve">Figure 2 — Experimental Design: 2×2 Factorial with Override and Control Arms.</w:t>
      </w:r>
      <w:r>
        <w:t xml:space="preserve"> </w:t>
      </w:r>
      <w:r>
        <w:t xml:space="preserve">Arms A–D (OSK × reset), control arms E/E’ (p53-suppression vs. USP25/28 + PIDD1-KD), perturbation and cGAS/STING-KO dissociation arms, and arm F (temporal dissociation: reset → washout → 10 passages → OSK).</w:t>
      </w:r>
    </w:p>
    <w:p>
      <w:pPr>
        <w:jc w:val="center"/>
        <w:pStyle w:val="CaptionedFigure"/>
      </w:pPr>
      <w:r>
        <w:drawing>
          <wp:inline>
            <wp:extent cx="5334000" cy="3542547"/>
            <wp:effectExtent b="0" l="0" r="0" t="0"/>
            <wp:docPr descr="Figure 3 — Proof Ladder and Verification Gates" title="" id="95" name="Picture"/>
            <a:graphic>
              <a:graphicData uri="http://schemas.openxmlformats.org/drawingml/2006/picture">
                <pic:pic>
                  <pic:nvPicPr>
                    <pic:cNvPr descr="/home/oem/Desktop/Marketing/ARGUS-OS3/docs/FIGURE_3_Proof_Ladder.png" id="96" name="Picture"/>
                    <pic:cNvPicPr>
                      <a:picLocks noChangeArrowheads="1" noChangeAspect="1"/>
                    </pic:cNvPicPr>
                  </pic:nvPicPr>
                  <pic:blipFill>
                    <a:blip r:embed="rId94"/>
                    <a:stretch>
                      <a:fillRect/>
                    </a:stretch>
                  </pic:blipFill>
                  <pic:spPr bwMode="auto">
                    <a:xfrm>
                      <a:off x="0" y="0"/>
                      <a:ext cx="5334000" cy="3542547"/>
                    </a:xfrm>
                    <a:prstGeom prst="rect">
                      <a:avLst/>
                    </a:prstGeom>
                    <a:noFill/>
                    <a:ln w="9525">
                      <a:noFill/>
                      <a:headEnd/>
                      <a:tailEnd/>
                    </a:ln>
                  </pic:spPr>
                </pic:pic>
              </a:graphicData>
            </a:graphic>
          </wp:inline>
        </w:drawing>
      </w:r>
    </w:p>
    <w:p>
      <w:pPr>
        <w:jc w:val="both"/>
        <w:pStyle w:val="ImageCaption"/>
      </w:pPr>
      <w:r>
        <w:t xml:space="preserve">Figure 3 — Proof Ladder and Verification Gates</w:t>
      </w:r>
    </w:p>
    <w:p>
      <w:pPr>
        <w:jc w:val="both"/>
        <w:pStyle w:val="BodyText"/>
      </w:pPr>
      <w:r>
        <w:rPr>
          <w:b/>
          <w:bCs/>
        </w:rPr>
        <w:t xml:space="preserve">Figure 3 — Proof Ladder and Verification Gates.</w:t>
      </w:r>
      <w:r>
        <w:t xml:space="preserve"> </w:t>
      </w:r>
      <w:r>
        <w:t xml:space="preserve">Proofs A–D’’’’ (de novo origin, SILAC purity, maturation, geometry), gates E–E’’ (number, STED structural verification, live first-mitoses), and the phased go/no-go ladder from Phase 1A feasibility to Phase 3 in vivo.</w:t>
      </w:r>
    </w:p>
    <w:p>
      <w:pPr>
        <w:jc w:val="center"/>
        <w:pStyle w:val="CaptionedFigure"/>
      </w:pPr>
      <w:r>
        <w:drawing>
          <wp:inline>
            <wp:extent cx="5334000" cy="3061000"/>
            <wp:effectExtent b="0" l="0" r="0" t="0"/>
            <wp:docPr descr="Figure 4 — p53-Surveillance Architecture and Override Strategy" title="" id="98" name="Picture"/>
            <a:graphic>
              <a:graphicData uri="http://schemas.openxmlformats.org/drawingml/2006/picture">
                <pic:pic>
                  <pic:nvPicPr>
                    <pic:cNvPr descr="/home/oem/Desktop/Marketing/ARGUS-OS3/docs/FIGURE_4_Override_Architecture.png" id="99" name="Picture"/>
                    <pic:cNvPicPr>
                      <a:picLocks noChangeArrowheads="1" noChangeAspect="1"/>
                    </pic:cNvPicPr>
                  </pic:nvPicPr>
                  <pic:blipFill>
                    <a:blip r:embed="rId97"/>
                    <a:stretch>
                      <a:fillRect/>
                    </a:stretch>
                  </pic:blipFill>
                  <pic:spPr bwMode="auto">
                    <a:xfrm>
                      <a:off x="0" y="0"/>
                      <a:ext cx="5334000" cy="3061000"/>
                    </a:xfrm>
                    <a:prstGeom prst="rect">
                      <a:avLst/>
                    </a:prstGeom>
                    <a:noFill/>
                    <a:ln w="9525">
                      <a:noFill/>
                      <a:headEnd/>
                      <a:tailEnd/>
                    </a:ln>
                  </pic:spPr>
                </pic:pic>
              </a:graphicData>
            </a:graphic>
          </wp:inline>
        </w:drawing>
      </w:r>
    </w:p>
    <w:p>
      <w:pPr>
        <w:jc w:val="both"/>
        <w:pStyle w:val="ImageCaption"/>
      </w:pPr>
      <w:r>
        <w:t xml:space="preserve">Figure 4 — p53-Surveillance Architecture and Override Strategy</w:t>
      </w:r>
    </w:p>
    <w:p>
      <w:pPr>
        <w:jc w:val="both"/>
        <w:pStyle w:val="BodyText"/>
      </w:pPr>
      <w:r>
        <w:rPr>
          <w:b/>
          <w:bCs/>
        </w:rPr>
        <w:t xml:space="preserve">Figure 4 — p53-Surveillance Architecture and Override Strategy.</w:t>
      </w:r>
      <w:r>
        <w:t xml:space="preserve"> </w:t>
      </w:r>
      <w:r>
        <w:t xml:space="preserve">Loss arm (53BP1–USP28–p53; USP25/28 inhibitor preserves p53 for genuine DNA damage) and amplification/inflammation arm (PIDDosome–ANKRD26; cGAS–STING; PIDD1-KD, KO arms; cytostatic window RO-3306).</w:t>
      </w:r>
    </w:p>
    <w:p>
      <w:pPr>
        <w:jc w:val="center"/>
        <w:pStyle w:val="CaptionedFigure"/>
      </w:pPr>
      <w:r>
        <w:drawing>
          <wp:inline>
            <wp:extent cx="5334000" cy="1820054"/>
            <wp:effectExtent b="0" l="0" r="0" t="0"/>
            <wp:docPr descr="Figure 5 — Transformation Surveillance: Five Pre-Registered Anti-Neoplastic Layers" title="" id="101" name="Picture"/>
            <a:graphic>
              <a:graphicData uri="http://schemas.openxmlformats.org/drawingml/2006/picture">
                <pic:pic>
                  <pic:nvPicPr>
                    <pic:cNvPr descr="/home/oem/Desktop/Marketing/ARGUS-OS3/docs/FIGURE_5_Surveillance.png" id="102" name="Picture"/>
                    <pic:cNvPicPr>
                      <a:picLocks noChangeArrowheads="1" noChangeAspect="1"/>
                    </pic:cNvPicPr>
                  </pic:nvPicPr>
                  <pic:blipFill>
                    <a:blip r:embed="rId100"/>
                    <a:stretch>
                      <a:fillRect/>
                    </a:stretch>
                  </pic:blipFill>
                  <pic:spPr bwMode="auto">
                    <a:xfrm>
                      <a:off x="0" y="0"/>
                      <a:ext cx="5334000" cy="1820054"/>
                    </a:xfrm>
                    <a:prstGeom prst="rect">
                      <a:avLst/>
                    </a:prstGeom>
                    <a:noFill/>
                    <a:ln w="9525">
                      <a:noFill/>
                      <a:headEnd/>
                      <a:tailEnd/>
                    </a:ln>
                  </pic:spPr>
                </pic:pic>
              </a:graphicData>
            </a:graphic>
          </wp:inline>
        </w:drawing>
      </w:r>
    </w:p>
    <w:p>
      <w:pPr>
        <w:jc w:val="both"/>
        <w:pStyle w:val="ImageCaption"/>
      </w:pPr>
      <w:r>
        <w:t xml:space="preserve">Figure 5 — Transformation Surveillance: Five Pre-Registered Anti-Neoplastic Layers</w:t>
      </w:r>
    </w:p>
    <w:p>
      <w:pPr>
        <w:jc w:val="both"/>
        <w:pStyle w:val="BodyText"/>
      </w:pPr>
      <w:r>
        <w:rPr>
          <w:b/>
          <w:bCs/>
        </w:rPr>
        <w:t xml:space="preserve">Figure 5 — Transformation Surveillance: Five Pre-Registered Anti-Neoplastic Layers.</w:t>
      </w:r>
      <w:r>
        <w:t xml:space="preserve"> </w:t>
      </w:r>
      <w:r>
        <w:t xml:space="preserve">p53 re-competence, karyotype/ploidy, immortalization screen, anchorage independence, clonal dynamics; any clone failing a layer is excluded; ≥5% flag rate triggers the safety futility stop.</w:t>
      </w:r>
    </w:p>
    <w:p>
      <w:pPr>
        <w:jc w:val="center"/>
        <w:pStyle w:val="CaptionedFigure"/>
      </w:pPr>
      <w:r>
        <w:drawing>
          <wp:inline>
            <wp:extent cx="5334000" cy="5334000"/>
            <wp:effectExtent b="0" l="0" r="0" t="0"/>
            <wp:docPr descr="Figure 6 — The 13-Puzzle Schematic (supplementary; schematic only, not a 13th-hallmark claim)" title="" id="104" name="Picture"/>
            <a:graphic>
              <a:graphicData uri="http://schemas.openxmlformats.org/drawingml/2006/picture">
                <pic:pic>
                  <pic:nvPicPr>
                    <pic:cNvPr descr="/home/oem/Desktop/Marketing/ARGUS-OS3/docs/ENTROPY_RESET_13_PUZZLES.png" id="105" name="Picture"/>
                    <pic:cNvPicPr>
                      <a:picLocks noChangeArrowheads="1" noChangeAspect="1"/>
                    </pic:cNvPicPr>
                  </pic:nvPicPr>
                  <pic:blipFill>
                    <a:blip r:embed="rId103"/>
                    <a:stretch>
                      <a:fillRect/>
                    </a:stretch>
                  </pic:blipFill>
                  <pic:spPr bwMode="auto">
                    <a:xfrm>
                      <a:off x="0" y="0"/>
                      <a:ext cx="5334000" cy="5334000"/>
                    </a:xfrm>
                    <a:prstGeom prst="rect">
                      <a:avLst/>
                    </a:prstGeom>
                    <a:noFill/>
                    <a:ln w="9525">
                      <a:noFill/>
                      <a:headEnd/>
                      <a:tailEnd/>
                    </a:ln>
                  </pic:spPr>
                </pic:pic>
              </a:graphicData>
            </a:graphic>
          </wp:inline>
        </w:drawing>
      </w:r>
    </w:p>
    <w:p>
      <w:pPr>
        <w:jc w:val="both"/>
        <w:pStyle w:val="ImageCaption"/>
      </w:pPr>
      <w:r>
        <w:t xml:space="preserve">Figure 6 — The 13-Puzzle Schematic (supplementary; schematic only, not a 13th-hallmark claim)</w:t>
      </w:r>
    </w:p>
    <w:p>
      <w:pPr>
        <w:jc w:val="both"/>
        <w:pStyle w:val="BodyText"/>
      </w:pPr>
      <w:r>
        <w:rPr>
          <w:b/>
          <w:bCs/>
        </w:rPr>
        <w:t xml:space="preserve">Figure 6 — The 13-Puzzle Schematic (supplementary; schematic only, not a 13th-hallmark claim).</w:t>
      </w:r>
      <w:r>
        <w:t xml:space="preserve"> </w:t>
      </w:r>
      <w:r>
        <w:t xml:space="preserve">12 Hallmarks of Aging (López-Otín framework) + centriole elimination and de novo synthesis as the candidate mechanistic axis.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sz w:val="24"/>
      <w:szCs w:val="24"/>
    </w:rPr>
    <w:pPr>
      <w:spacing w:line="276" w:lineRule="auto" w:after="0"/>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qFormat/>
    <w:rPr>
      <w:rFonts w:ascii="Arial" w:hAnsi="Arial" w:cs="Arial"/>
      <w:sz w:val="44"/>
      <w:szCs w:val="44"/>
    </w:rPr>
    <w:pPr>
      <w:jc w:val="center"/>
      <w:spacing w:line="240" w:after="120"/>
    </w:p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qFormat/>
    <w:rPr>
      <w:rFonts w:ascii="Arial" w:hAnsi="Arial" w:cs="Arial"/>
      <w:sz w:val="28"/>
      <w:szCs w:val="28"/>
    </w:rPr>
    <w:pPr>
      <w:jc w:val="center"/>
      <w:spacing w:line="240" w:after="120"/>
    </w:p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Normal"/>
    <w:link w:val="Heading1Char"/>
    <w:uiPriority w:val="9"/>
    <w:qFormat/>
    <w:rPr>
      <w:rFonts w:ascii="Arial" w:hAnsi="Arial" w:cs="Arial"/>
      <w:b/>
      <w:sz w:val="40"/>
      <w:szCs w:val="40"/>
    </w:rPr>
    <w:pPr>
      <w:keepNext/>
      <w:keepLines/>
      <w:spacing w:after="120" w:before="360"/>
      <w:outlineLvl w:val="0"/>
    </w:pPr>
  </w:style>
  <w:style w:styleId="Heading2" w:type="paragraph">
    <w:name w:val="heading 2"/>
    <w:basedOn w:val="Normal"/>
    <w:next w:val="Normal"/>
    <w:link w:val="Heading2Char"/>
    <w:uiPriority w:val="9"/>
    <w:qFormat/>
    <w:rPr>
      <w:rFonts w:ascii="Arial" w:hAnsi="Arial" w:cs="Arial"/>
      <w:b/>
      <w:sz w:val="32"/>
      <w:szCs w:val="32"/>
    </w:rPr>
    <w:pPr>
      <w:keepNext/>
      <w:keepLines/>
      <w:spacing w:after="80" w:before="240"/>
      <w:outlineLvl w:val="1"/>
    </w:pPr>
  </w:style>
  <w:style w:styleId="Heading3" w:type="paragraph">
    <w:name w:val="heading 3"/>
    <w:basedOn w:val="Normal"/>
    <w:next w:val="Normal"/>
    <w:link w:val="Heading3Char"/>
    <w:uiPriority w:val="9"/>
    <w:qFormat/>
    <w:rPr>
      <w:rFonts w:ascii="Arial" w:hAnsi="Arial" w:cs="Arial"/>
      <w:b/>
      <w:sz w:val="24"/>
      <w:szCs w:val="24"/>
    </w:rPr>
    <w:pPr>
      <w:keepNext/>
      <w:keepLines/>
      <w:spacing w:after="60" w:before="200"/>
      <w:outlineLvl w:val="2"/>
    </w:p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3" Target="media/rId103.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0" Target="media/rId10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2026-08-11T22:13:20Z</dcterms:created>
  <dcterms:modified xsi:type="dcterms:W3CDTF">2026-08-11T22:13:20Z</dcterms:modified>
</cp:coreProperties>
</file>

<file path=docProps/custom.xml><?xml version="1.0" encoding="utf-8"?>
<Properties xmlns="http://schemas.openxmlformats.org/officeDocument/2006/custom-properties" xmlns:vt="http://schemas.openxmlformats.org/officeDocument/2006/docPropsVTypes"/>
</file>