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drawing>
          <wp:inline distB="114300" distT="114300" distL="114300" distR="114300">
            <wp:extent cx="5943600" cy="84074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840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THE CENTRIOLE AS A UNIDIRECTIONAL RATCHET OF CELLULAR IDENTITY AND AGING</w:t>
      </w:r>
    </w:p>
    <w:p w:rsidR="00000000" w:rsidDel="00000000" w:rsidP="00000000" w:rsidRDefault="00000000" w:rsidRPr="00000000" w14:paraId="00000003">
      <w:pPr>
        <w:pStyle w:val="Heading2"/>
        <w:jc w:val="left"/>
        <w:rPr/>
      </w:pPr>
      <w:r w:rsidDel="00000000" w:rsidR="00000000" w:rsidRPr="00000000">
        <w:rPr>
          <w:rtl w:val="0"/>
        </w:rPr>
      </w:r>
    </w:p>
    <w:p w:rsidR="00000000" w:rsidDel="00000000" w:rsidP="00000000" w:rsidRDefault="00000000" w:rsidRPr="00000000" w14:paraId="00000004">
      <w:pPr>
        <w:pStyle w:val="Heading2"/>
        <w:jc w:val="center"/>
        <w:rPr/>
      </w:pPr>
      <w:r w:rsidDel="00000000" w:rsidR="00000000" w:rsidRPr="00000000">
        <w:rPr>
          <w:rtl w:val="0"/>
        </w:rPr>
        <w:t xml:space="preserve">Centriole Reset: Testing Structural Organelle Rejuvenation in Somatic Cells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jc w:val="left"/>
        <w:rPr/>
      </w:pPr>
      <w:r w:rsidDel="00000000" w:rsidR="00000000" w:rsidRPr="00000000">
        <w:rPr>
          <w:rtl w:val="0"/>
        </w:rPr>
        <w:t xml:space="preserve">A Scientific Monograph — Theory and Protocol</w:t>
      </w:r>
    </w:p>
    <w:p w:rsidR="00000000" w:rsidDel="00000000" w:rsidP="00000000" w:rsidRDefault="00000000" w:rsidRPr="00000000" w14:paraId="00000007">
      <w:pPr>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rtl w:val="0"/>
        </w:rPr>
        <w:t xml:space="preserve">Author</w:t>
      </w:r>
      <w:r w:rsidDel="00000000" w:rsidR="00000000" w:rsidRPr="00000000">
        <w:rPr>
          <w:rFonts w:ascii="Aptos" w:cs="Aptos" w:eastAsia="Aptos" w:hAnsi="Aptos"/>
          <w:rtl w:val="0"/>
        </w:rPr>
        <w:t xml:space="preserve">: Jaba Tqemaladze</w:t>
        <w:br w:type="textWrapping"/>
      </w:r>
      <w:r w:rsidDel="00000000" w:rsidR="00000000" w:rsidRPr="00000000">
        <w:rPr>
          <w:rFonts w:ascii="Aptos" w:cs="Aptos" w:eastAsia="Aptos" w:hAnsi="Aptos"/>
          <w:b w:val="1"/>
          <w:bCs w:val="1"/>
          <w:rtl w:val="0"/>
        </w:rPr>
        <w:t xml:space="preserve">Affiliation</w:t>
      </w:r>
      <w:r w:rsidDel="00000000" w:rsidR="00000000" w:rsidRPr="00000000">
        <w:rPr>
          <w:rFonts w:ascii="Aptos" w:cs="Aptos" w:eastAsia="Aptos" w:hAnsi="Aptos"/>
          <w:rtl w:val="0"/>
        </w:rPr>
        <w:t xml:space="preserve">: Georgia Longevity Alliance</w:t>
        <w:br w:type="textWrapping"/>
      </w:r>
      <w:r w:rsidDel="00000000" w:rsidR="00000000" w:rsidRPr="00000000">
        <w:rPr>
          <w:rFonts w:ascii="Aptos" w:cs="Aptos" w:eastAsia="Aptos" w:hAnsi="Aptos"/>
          <w:b w:val="1"/>
          <w:bCs w:val="1"/>
          <w:rtl w:val="0"/>
        </w:rPr>
        <w:t xml:space="preserve">Correspondence</w:t>
      </w:r>
      <w:r w:rsidDel="00000000" w:rsidR="00000000" w:rsidRPr="00000000">
        <w:rPr>
          <w:rFonts w:ascii="Aptos" w:cs="Aptos" w:eastAsia="Aptos" w:hAnsi="Aptos"/>
          <w:rtl w:val="0"/>
        </w:rPr>
        <w:t xml:space="preserve">: jaba@longevity.ge | </w:t>
      </w:r>
      <w:r w:rsidDel="00000000" w:rsidR="00000000" w:rsidRPr="00000000">
        <w:rPr>
          <w:rFonts w:ascii="Aptos" w:cs="Aptos" w:eastAsia="Aptos" w:hAnsi="Aptos"/>
          <w:b w:val="1"/>
          <w:bCs w:val="1"/>
          <w:rtl w:val="0"/>
        </w:rPr>
        <w:t xml:space="preserve">ORCID</w:t>
      </w:r>
      <w:r w:rsidDel="00000000" w:rsidR="00000000" w:rsidRPr="00000000">
        <w:rPr>
          <w:rFonts w:ascii="Aptos" w:cs="Aptos" w:eastAsia="Aptos" w:hAnsi="Aptos"/>
          <w:rtl w:val="0"/>
        </w:rPr>
        <w:t xml:space="preserve">: 0000-0001-8651-7243</w:t>
        <w:br w:type="textWrapping"/>
      </w:r>
      <w:r w:rsidDel="00000000" w:rsidR="00000000" w:rsidRPr="00000000">
        <w:rPr>
          <w:rFonts w:ascii="Aptos" w:cs="Aptos" w:eastAsia="Aptos" w:hAnsi="Aptos"/>
          <w:b w:val="1"/>
          <w:bCs w:val="1"/>
          <w:rtl w:val="0"/>
        </w:rPr>
        <w:t xml:space="preserve">ISBN</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Monograph 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w:t>
      </w:r>
      <w:r w:rsidDel="00000000" w:rsidR="00000000" w:rsidRPr="00000000">
        <w:rPr>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2026-08-11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 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7.5</w:t>
      </w:r>
      <w:r w:rsidDel="00000000" w:rsidR="00000000" w:rsidRPr="00000000">
        <w:rPr>
          <w:rtl w:val="0"/>
        </w:rPr>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Repositories: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13462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0" w:right="480" w:firstLine="0"/>
        <w:rPr>
          <w:b w:val="1"/>
          <w:bCs w:val="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Every claim is marked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established,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inference,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hypothesis, or </w:t>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prediction, and claims are restricted to the level at which evidence exists.</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Contents</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I — The Problem and the Theory.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Cellular aging beyond the epigenome; CEDAR — the centriolar entropy-damage accumulation ratchet; MCARA — the multi-counter architecture; the germline as the existence proof.</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II — The Red Thread.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proximate mechanism of aging: retention, temporal entropy, functional decline, tissue imbalance, outcome.</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III — The Protocol (v7.5).</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falsifiable causal test: elimination → verified de novo biogenesis → OSK-independent cellular rejuvenation; hypotheses, 2×2 factorial, four de novo-origin proofs, genome-integrity and transformation-surveillance gates, targeted USP25/28 checkpoint override, statistical analysis plan, phased budget.</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IV — The Killer Experiment and the Path to Causality.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TTLL5-driven artificial centriole aging in OSK-rejuvenated cells; the transplantation arm; the in vivo ladder.</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 II — The Protocol (v8.3).</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falsifiable causal test: elimination → verified de novo biogenesis → OSK-independent cellular rejuvenation; hypotheses, 2×2 factorial, four de novo-origin proofs, genome-integrity and transformation-surveillance gates, targeted USP25/28 checkpoint override, statistical analysis plan, phased budget, systematic-search appendix.</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Conceptual schematics: the ratchet model, experimental design, proof ladder, override architecture, transformation surveillance.</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Foreword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monograph consolidates a research program that began with a simple observation: animal stem cells divide asymmetrically, and in many systems the older centrosome is retained by the cell that keeps stemness (Yamashita 2007; Wang 2009). If the centriole — a semi-conservatively duplicated organelle — accumulates structural and post-translational entropy with each division, and if that entropy is never cleared in the somatic stem-cell lineage, then the oldest centriole is a candidate structural carrier of cellular aging: a ratchet that locks both differentiation state and division potential.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claim is deliberately narrow and deliberately testable. This is not a claim that “centrioles cause aging” in a totalizing sense; it is the claim that a previously untested organelle-reset paradigm may complement epigenetic reprogramming by replacing a persistent structural component that is not directly erased by transcription-factor-mediated reprogramming. The two closest prior experiments are addressed head-on: Wong et al. (2015) demonstrated that normal cells arrest irreversibly upon centrosome loss — recovery after centriole elimination is an open empirical question in untransformed cells, not an established premise; Renzova et al. (2018) showed that in pluripotent cells centriole loss triggers p53-dependent differentiation — the outcome of ratchet release depends on the starting state.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monograph consolidates a research program in its current form after extensive revision against the standards of high-impact journals. Each identified weakness was either solved or bounded with pre-registered controls and verified literature. The result is a protocol that is defensible as a Registered Report / Hypothesis contribution and executable as an ERC StG-scale program.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scientific heart of the program is the falsifiable question: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 experimentally induced centriole elimination followed by verified de novo centriole biogenesis produce measurable, OSK-independent improvements in defined cellular aging phenotypes, while preserving genomic integrity?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monograph presents the theory, the protocol, and the killer experiments — so that the reader can judge for themselves what is established, what is inferred, what is hypothesized, and what is predicted.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Jaba Tqemaladze, MD, 2026-08-11</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Part I — The Problem and the Theory</w:t>
      </w:r>
    </w:p>
    <w:p w:rsidR="00000000" w:rsidDel="00000000" w:rsidP="00000000" w:rsidRDefault="00000000" w:rsidRPr="00000000" w14:paraId="00000021">
      <w:pPr>
        <w:pStyle w:val="Heading2"/>
        <w:rPr/>
      </w:pPr>
      <w:r w:rsidDel="00000000" w:rsidR="00000000" w:rsidRPr="00000000">
        <w:rPr>
          <w:rtl w:val="0"/>
        </w:rPr>
        <w:t xml:space="preserve">1.1 The structural gap in aging research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hallmarks of aging (López-Otín et al., 2013; 2023) enumerate twelve categories of age-associated damage. Most proposed interventions act on information carriers — the epigenome (OSK reprogramming), telomeres, mitochondria — or on downstream phenotypes (proteostasis, autophagy). What is missing from this catalogue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persistent structural component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organelle that is semi-conservatively duplicated, retained across many divisions, and never reset in the somatic lineage.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centriole is such a component. It duplicates once per cell cycle, templating daughter geometry from the mother’s proximal surface; it is inherited asymmetrically in stem-cell divisions (Yamashita 2007; Wang 2009; Januschke 2011); and — unlike the epigenome — its structural state is not erased by transcription-factor-mediated reprogramming. The germline is the only compartment that clears it: centrioles are eliminated during oogenesis and rebuilt de novo in the early embryo (Kalbfuss &amp; Gönczy 2023; Mikeladze-Dvali 2012). This monograph asks whether the somatic lineage can reproduce that clearing step — and what would happen if it did.</w:t>
      </w:r>
    </w:p>
    <w:p w:rsidR="00000000" w:rsidDel="00000000" w:rsidP="00000000" w:rsidRDefault="00000000" w:rsidRPr="00000000" w14:paraId="00000024">
      <w:pPr>
        <w:pStyle w:val="Heading2"/>
        <w:rPr/>
      </w:pPr>
      <w:r w:rsidDel="00000000" w:rsidR="00000000" w:rsidRPr="00000000">
        <w:rPr>
          <w:rtl w:val="0"/>
        </w:rPr>
        <w:t xml:space="preserve">1.2 CEDAR — Centriolar Entropy-Damage Accumulation Ratchet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One sentence: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centriole is a structural ratchet that accumulates entropy-damage with each division (counter mode) and locks the cell’s current differentiation state (state-lock mode); its loss releases identity in the direction set by the starting state.</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Counter mode (CEDAR-α/β).</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Semi-conservative duplication transmits templated geometry change (mother→daughter) plus superimposed stochastic errors: β·t + η(t), inseparable in vivo. The oldest centriole retained by the stem daughter accumulates the most temporal entropy.</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State-lock mode (CEDAR-γ).</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Centrosome-Associated Memory Complex (CAMC) on the mother centriole acts as the ratchet pawl: it anchors the current differentiation state. Centriole loss releases the pawl; de novo assembly installs a fresh pawl that locks the new state.</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two-mode unification explains both counter-examples and the reprogramming barrier as one mechanism.</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Renzova 2018 (loss in pluripotent cells → differentiation) is the ratchet released in the down direction; this protocol (loss in somatic cells → plasticity → re-locked younger) is the ratchet released in the up direction. The direction is set by the starting state, not by the perturbation.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Falsifiability.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ratchet model is falsified independently of any CRCS result if either (a) centriole loss in somatic cells produces the same outcome as in pluripotent cells (differentiation) despite p53 override and fibroblast identity — i.e., the starting state does not set the outcome; or (b) after verified de novo assembly the cell does not stably maintain the new state (rollback within 10 passages). Both are registered before data collection.</w:t>
      </w:r>
    </w:p>
    <w:p w:rsidR="00000000" w:rsidDel="00000000" w:rsidP="00000000" w:rsidRDefault="00000000" w:rsidRPr="00000000" w14:paraId="0000002A">
      <w:pPr>
        <w:pStyle w:val="Heading2"/>
        <w:rPr/>
      </w:pPr>
      <w:r w:rsidDel="00000000" w:rsidR="00000000" w:rsidRPr="00000000">
        <w:rPr>
          <w:rtl w:val="0"/>
        </w:rPr>
        <w:t xml:space="preserve">1.3 MCARA — Multi-Counter Architecture of Replicative Aging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replicative limit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race of several counters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centriole/CEDAR (#1), telomeres, mitochondria/ROS, epigenome. “Which counter’s entropy finishes first?” determines the phenotype of the limit. The 2×2 factorial of the protocol (OSK × reset) plus the hTERT control directly tests single- vs. multi-counter decomposition: if a single-counter reset (centriole) improves but does not abolish the limit, another counter finished first — and that is a testable, publishable result.</w:t>
      </w:r>
    </w:p>
    <w:p w:rsidR="00000000" w:rsidDel="00000000" w:rsidP="00000000" w:rsidRDefault="00000000" w:rsidRPr="00000000" w14:paraId="0000002C">
      <w:pPr>
        <w:pStyle w:val="Heading2"/>
        <w:rPr/>
      </w:pPr>
      <w:r w:rsidDel="00000000" w:rsidR="00000000" w:rsidRPr="00000000">
        <w:rPr>
          <w:rtl w:val="0"/>
        </w:rPr>
        <w:t xml:space="preserve">1.4 The germline as existence proof</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germline eliminates centrioles (meiosis/oogenesis) and rebuilds them de novo (blastomeres), clearing both programmed geometry and stochastic damage in one act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any claim about information carriers. This is the existence proof that multi-counter entropy reversal is biologically possible. The Entropy Reset Protocol reproduces the centriolar step of this reversal in somatic cells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 the meiotic price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diploidy preserved, no meiotic recombination, normal somatic DNA-repair capacity retained.</w:t>
      </w:r>
    </w:p>
    <w:p w:rsidR="00000000" w:rsidDel="00000000" w:rsidP="00000000" w:rsidRDefault="00000000" w:rsidRPr="00000000" w14:paraId="0000002E">
      <w:pPr>
        <w:pStyle w:val="Heading2"/>
        <w:rPr/>
      </w:pPr>
      <w:r w:rsidDel="00000000" w:rsidR="00000000" w:rsidRPr="00000000">
        <w:rPr>
          <w:rtl w:val="0"/>
        </w:rPr>
        <w:t xml:space="preserve">1.5 Placement of the claims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CEDAR (general theory): differentiation → division limit in animal stem cells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MCARA (special case): which counter's entropy finishes first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Entropy Reset Protocol (somatic reversal without the meiotic price)</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Part II — The Complete Protocol (Red Thread · Protocol · Search Appendix)</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docs/ENTROPY_RESET_PROGRAM_COMPLETE.md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(Version 8.3, 2026-08-12). Included in full — Red Thread, Protocol, and Systematic-Search Appendix; no part omitted.</w:t>
      </w:r>
    </w:p>
    <w:p w:rsidR="00000000" w:rsidDel="00000000" w:rsidP="00000000" w:rsidRDefault="00000000" w:rsidRPr="00000000" w14:paraId="00000033">
      <w:pPr>
        <w:pStyle w:val="Heading1"/>
        <w:rPr/>
      </w:pPr>
      <w:r w:rsidDel="00000000" w:rsidR="00000000" w:rsidRPr="00000000">
        <w:rPr>
          <w:rtl w:val="0"/>
        </w:rPr>
        <w:t xml:space="preserve">PART 0 — THE RED THREAD (one-page mechanism)</w:t>
      </w:r>
    </w:p>
    <w:p w:rsidR="00000000" w:rsidDel="00000000" w:rsidP="00000000" w:rsidRDefault="00000000" w:rsidRPr="00000000" w14:paraId="00000034">
      <w:pPr>
        <w:pStyle w:val="Heading1"/>
        <w:rPr/>
      </w:pPr>
      <w:r w:rsidDel="00000000" w:rsidR="00000000" w:rsidRPr="00000000">
        <w:rPr>
          <w:rtl w:val="0"/>
        </w:rPr>
        <w:t xml:space="preserve">THE RED THREAD — The Proximate Mechanism of Aging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One-page summary · 2026-08-11 · Jaba Tqemaladze, MD (Georgia Longevity Alliance)</w:t>
      </w: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t xml:space="preserve">The mechanism in one sentence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The organism ages because the oldest centrioles — carrying the most errors — accumulate in stem cells: division tempo falls and niche-signal perception falls (centrosome + cilium function), so tissue self-repair declines while self-destruction rises — imbalance: repair↓ / destruction↑.</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The chain (5 links)</w:t>
      </w:r>
    </w:p>
    <w:p w:rsidR="00000000" w:rsidDel="00000000" w:rsidP="00000000" w:rsidRDefault="00000000" w:rsidRPr="00000000" w14:paraId="00000039">
      <w:pPr>
        <w:numPr>
          <w:ilvl w:val="0"/>
          <w:numId w:val="13"/>
        </w:numPr>
        <w:ind w:left="720" w:hanging="360"/>
        <w:jc w:val="both"/>
        <w:rPr/>
      </w:pPr>
      <w:r w:rsidDel="00000000" w:rsidR="00000000" w:rsidRPr="00000000">
        <w:rPr>
          <w:b w:val="1"/>
          <w:bCs w:val="1"/>
          <w:rtl w:val="0"/>
        </w:rPr>
        <w:t xml:space="preserve">Retention [E]</w:t>
      </w:r>
      <w:r w:rsidDel="00000000" w:rsidR="00000000" w:rsidRPr="00000000">
        <w:rPr>
          <w:rtl w:val="0"/>
        </w:rPr>
        <w:t xml:space="preserve"> — In asymmetric stem-cell divisions, the older (mother) centrosome is inherited by the cell that keeps stemness (Yamashita 2007, PMID 17255513; Wang 2009, PMID 19829375). Progeny do </w:t>
      </w:r>
      <w:r w:rsidDel="00000000" w:rsidR="00000000" w:rsidRPr="00000000">
        <w:rPr>
          <w:b w:val="1"/>
          <w:bCs w:val="1"/>
          <w:rtl w:val="0"/>
        </w:rPr>
        <w:t xml:space="preserve">not</w:t>
      </w:r>
      <w:r w:rsidDel="00000000" w:rsidR="00000000" w:rsidRPr="00000000">
        <w:rPr>
          <w:rtl w:val="0"/>
        </w:rPr>
        <w:t xml:space="preserve"> eliminate centrioles (unlike C. elegans, where 88% of somatic cells eliminate; planarian neoblasts lack centrioles). The ratchet is never released in the somatic stem-cell lineage.</w:t>
      </w:r>
    </w:p>
    <w:p w:rsidR="00000000" w:rsidDel="00000000" w:rsidP="00000000" w:rsidRDefault="00000000" w:rsidRPr="00000000" w14:paraId="0000003A">
      <w:pPr>
        <w:numPr>
          <w:ilvl w:val="0"/>
          <w:numId w:val="13"/>
        </w:numPr>
        <w:ind w:left="720" w:hanging="360"/>
        <w:jc w:val="both"/>
        <w:rPr/>
      </w:pPr>
      <w:r w:rsidDel="00000000" w:rsidR="00000000" w:rsidRPr="00000000">
        <w:rPr>
          <w:b w:val="1"/>
          <w:bCs w:val="1"/>
          <w:rtl w:val="0"/>
        </w:rPr>
        <w:t xml:space="preserve">Temporal entropy accumulation [H]</w:t>
      </w:r>
      <w:r w:rsidDel="00000000" w:rsidR="00000000" w:rsidRPr="00000000">
        <w:rPr>
          <w:rFonts w:ascii="Arial Unicode MS" w:cs="Arial Unicode MS" w:eastAsia="Arial Unicode MS" w:hAnsi="Arial Unicode MS"/>
          <w:rtl w:val="0"/>
        </w:rPr>
        <w:t xml:space="preserve"> — Templated geometry change (mother→daughter, semi-conservative duplication; Kochanski &amp; Borisy 1990, PMID 2335566) is </w:t>
      </w:r>
      <w:r w:rsidDel="00000000" w:rsidR="00000000" w:rsidRPr="00000000">
        <w:rPr>
          <w:b w:val="1"/>
          <w:bCs w:val="1"/>
          <w:rtl w:val="0"/>
        </w:rPr>
        <w:t xml:space="preserve">hypothesized to be PROGRAMMED — possibly a part of the differentiation mechanism itself</w:t>
      </w:r>
      <w:r w:rsidDel="00000000" w:rsidR="00000000" w:rsidRPr="00000000">
        <w:rPr>
          <w:rtl w:val="0"/>
        </w:rPr>
        <w:t xml:space="preserve"> (H_programmed, falsifiable via cryo-ET comparison of de novo vs. templated geometry), and is inseparable from superimposed stochastic errors (β·t + η(t), not decomposable in vivo). Together they form the </w:t>
      </w:r>
      <w:r w:rsidDel="00000000" w:rsidR="00000000" w:rsidRPr="00000000">
        <w:rPr>
          <w:b w:val="1"/>
          <w:bCs w:val="1"/>
          <w:rtl w:val="0"/>
        </w:rPr>
        <w:t xml:space="preserve">temporal entropy</w:t>
      </w:r>
      <w:r w:rsidDel="00000000" w:rsidR="00000000" w:rsidRPr="00000000">
        <w:rPr>
          <w:rtl w:val="0"/>
        </w:rPr>
        <w:t xml:space="preserve"> of the retained oldest centriole, which rises monotonically in daughter stem cells.</w:t>
      </w:r>
    </w:p>
    <w:p w:rsidR="00000000" w:rsidDel="00000000" w:rsidP="00000000" w:rsidRDefault="00000000" w:rsidRPr="00000000" w14:paraId="0000003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v8.1 clarification ( “contradiction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“programmed” and “stochastic” are NOT contradictory for the same parameter — they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two additive components acting at different levels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β·t is a deterministic, systematic trend component (templated geometry drift, reproducible across cells), while η(t) is the zero-mean stochastic fluctuation around it (cell-to-cell noise). This is the standard signal-plus-noise decomposition; the two are separable only in principle (in vivo they convolve, hence the cryo-ET falsification strategy compares de novo vs. templated geometry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distributions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single cells).</w:t>
      </w:r>
    </w:p>
    <w:p w:rsidR="00000000" w:rsidDel="00000000" w:rsidP="00000000" w:rsidRDefault="00000000" w:rsidRPr="00000000" w14:paraId="0000003C">
      <w:pPr>
        <w:numPr>
          <w:ilvl w:val="0"/>
          <w:numId w:val="13"/>
        </w:numPr>
        <w:ind w:left="720" w:hanging="360"/>
        <w:jc w:val="both"/>
        <w:rPr/>
      </w:pPr>
      <w:r w:rsidDel="00000000" w:rsidR="00000000" w:rsidRPr="00000000">
        <w:rPr>
          <w:b w:val="1"/>
          <w:bCs w:val="1"/>
          <w:rtl w:val="0"/>
        </w:rPr>
        <w:t xml:space="preserve">Functional decline [I]</w:t>
      </w:r>
      <w:r w:rsidDel="00000000" w:rsidR="00000000" w:rsidRPr="00000000">
        <w:rPr>
          <w:rtl w:val="0"/>
        </w:rPr>
        <w:t xml:space="preserve"> — The oldest centriole impairs two functions:</w:t>
      </w:r>
    </w:p>
    <w:p w:rsidR="00000000" w:rsidDel="00000000" w:rsidP="00000000" w:rsidRDefault="00000000" w:rsidRPr="00000000" w14:paraId="0000003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Centrosome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division tempo ↓ (defective spindle/duplication)</w:t>
      </w:r>
    </w:p>
    <w:p w:rsidR="00000000" w:rsidDel="00000000" w:rsidP="00000000" w:rsidRDefault="00000000" w:rsidRPr="00000000" w14:paraId="0000003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Cilium</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niche-signal perception ↓ (antenna for Hedgehog/Wnt/PDGFRα)</w:t>
      </w:r>
    </w:p>
    <w:p w:rsidR="00000000" w:rsidDel="00000000" w:rsidP="00000000" w:rsidRDefault="00000000" w:rsidRPr="00000000" w14:paraId="0000003F">
      <w:pPr>
        <w:numPr>
          <w:ilvl w:val="0"/>
          <w:numId w:val="13"/>
        </w:numPr>
        <w:ind w:left="720" w:hanging="360"/>
        <w:jc w:val="both"/>
        <w:rPr/>
      </w:pPr>
      <w:r w:rsidDel="00000000" w:rsidR="00000000" w:rsidRPr="00000000">
        <w:rPr>
          <w:b w:val="1"/>
          <w:bCs w:val="1"/>
          <w:rtl w:val="0"/>
        </w:rPr>
        <w:t xml:space="preserve">Tissue imbalance [H]</w:t>
      </w:r>
      <w:r w:rsidDel="00000000" w:rsidR="00000000" w:rsidRPr="00000000">
        <w:rPr>
          <w:rFonts w:ascii="Arial Unicode MS" w:cs="Arial Unicode MS" w:eastAsia="Arial Unicode MS" w:hAnsi="Arial Unicode MS"/>
          <w:rtl w:val="0"/>
        </w:rPr>
        <w:t xml:space="preserve"> — Division tempo ↓ + niche responses ↓ → </w:t>
      </w:r>
      <w:r w:rsidDel="00000000" w:rsidR="00000000" w:rsidRPr="00000000">
        <w:rPr>
          <w:rFonts w:ascii="Arial Unicode MS" w:cs="Arial Unicode MS" w:eastAsia="Arial Unicode MS" w:hAnsi="Arial Unicode MS"/>
          <w:b w:val="1"/>
          <w:bCs w:val="1"/>
          <w:rtl w:val="0"/>
        </w:rPr>
        <w:t xml:space="preserve">tissue self-repair ↓</w:t>
      </w:r>
      <w:r w:rsidDel="00000000" w:rsidR="00000000" w:rsidRPr="00000000">
        <w:rPr>
          <w:rtl w:val="0"/>
        </w:rPr>
        <w:t xml:space="preserve">, while </w:t>
      </w:r>
      <w:r w:rsidDel="00000000" w:rsidR="00000000" w:rsidRPr="00000000">
        <w:rPr>
          <w:rFonts w:ascii="Arial Unicode MS" w:cs="Arial Unicode MS" w:eastAsia="Arial Unicode MS" w:hAnsi="Arial Unicode MS"/>
          <w:b w:val="1"/>
          <w:bCs w:val="1"/>
          <w:rtl w:val="0"/>
        </w:rPr>
        <w:t xml:space="preserve">self-destruction ↑</w:t>
      </w:r>
      <w:r w:rsidDel="00000000" w:rsidR="00000000" w:rsidRPr="00000000">
        <w:rPr>
          <w:rtl w:val="0"/>
        </w:rPr>
        <w:t xml:space="preserve"> (apoptosis, senescence, degradation). Aging is the imbalance itself — not a “breakdown,” not a teleological “price.”</w:t>
      </w:r>
    </w:p>
    <w:p w:rsidR="00000000" w:rsidDel="00000000" w:rsidP="00000000" w:rsidRDefault="00000000" w:rsidRPr="00000000" w14:paraId="00000040">
      <w:pPr>
        <w:numPr>
          <w:ilvl w:val="0"/>
          <w:numId w:val="13"/>
        </w:numPr>
        <w:ind w:left="720" w:hanging="360"/>
        <w:jc w:val="both"/>
        <w:rPr/>
      </w:pPr>
      <w:r w:rsidDel="00000000" w:rsidR="00000000" w:rsidRPr="00000000">
        <w:rPr>
          <w:b w:val="1"/>
          <w:bCs w:val="1"/>
          <w:rtl w:val="0"/>
        </w:rPr>
        <w:t xml:space="preserve">Outcome</w:t>
      </w:r>
      <w:r w:rsidDel="00000000" w:rsidR="00000000" w:rsidRPr="00000000">
        <w:rPr>
          <w:rFonts w:ascii="Arial Unicode MS" w:cs="Arial Unicode MS" w:eastAsia="Arial Unicode MS" w:hAnsi="Arial Unicode MS"/>
          <w:rtl w:val="0"/>
        </w:rPr>
        <w:t xml:space="preserve"> — Regeneration cannot keep up with destruction → stem-cell exhaustion, division limit, organismal aging.</w:t>
      </w:r>
    </w:p>
    <w:p w:rsidR="00000000" w:rsidDel="00000000" w:rsidP="00000000" w:rsidRDefault="00000000" w:rsidRPr="00000000" w14:paraId="00000041">
      <w:pPr>
        <w:pStyle w:val="Heading2"/>
        <w:rPr/>
      </w:pPr>
      <w:r w:rsidDel="00000000" w:rsidR="00000000" w:rsidRPr="00000000">
        <w:rPr>
          <w:rtl w:val="0"/>
        </w:rPr>
        <w:t xml:space="preserve">The germline contrast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germline is the only compartment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releases the ratchet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eliminates centrioles (meiosis) and rebuilds de novo (blastomeres), clearing programmed geometry AND stochastic damage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 one 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existence proof that multi-counter entropy reversal is biologically possible.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Entropy Reset Protocol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reproduces this in somatic cells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 the meiotic price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(diploidy preserved, no meiotic recombination).</w:t>
      </w:r>
    </w:p>
    <w:p w:rsidR="00000000" w:rsidDel="00000000" w:rsidP="00000000" w:rsidRDefault="00000000" w:rsidRPr="00000000" w14:paraId="00000043">
      <w:pPr>
        <w:pStyle w:val="Heading2"/>
        <w:rPr/>
      </w:pPr>
      <w:r w:rsidDel="00000000" w:rsidR="00000000" w:rsidRPr="00000000">
        <w:rPr>
          <w:rtl w:val="0"/>
        </w:rPr>
        <w:t xml:space="preserve">Placement (one hypothesis, one path, three levels)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CEDAR (general theory): differentiation → division limit in animal stem cells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MCARA (special case): which counter's entropy finishes first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Entropy Reset Protocol (somatic reversal without the meiotic price)</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Where the thread runs (all documents)</w:t>
      </w:r>
    </w:p>
    <w:tbl>
      <w:tblPr>
        <w:tblStyle w:val="Table1"/>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CEDAR CONCEPT (LC/MCARA/CEDAR)</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v1.8</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MCARA CONCEPT (LC/MCARA)</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v5.8</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ENTROPY_RESET_PROTOCOL (ARGUS-OS3 / Desktop / GitHub)</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v6.1</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ENTROPY_RESET_GRANT_CORE (Marketing/docs / Desktop)</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v2.0</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ERC Part B1 (Marketing/ERC_StG_2026_CentrioleReset)</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v4.5</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ERC CONCEPT</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Entropy-in-Aging CONCEPT (Cologne workshop)</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v1.4</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GitHub: github.com/Georgia-Longevity-Alliance/ARGUS-OS3 · github.com/djabbat/LC · github.com/djabbat/Marketing</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PART 1 — ENTROPY RESET PROTOCOL v8.3</w:t>
      </w:r>
    </w:p>
    <w:p w:rsidR="00000000" w:rsidDel="00000000" w:rsidP="00000000" w:rsidRDefault="00000000" w:rsidRPr="00000000" w14:paraId="00000058">
      <w:pPr>
        <w:pStyle w:val="Heading1"/>
        <w:rPr/>
      </w:pPr>
      <w:r w:rsidDel="00000000" w:rsidR="00000000" w:rsidRPr="00000000">
        <w:rPr>
          <w:rtl w:val="0"/>
        </w:rPr>
        <w:t xml:space="preserve">Centriole Reset: Testing Structural Organelle Rejuvenation in Somatic Cells</w:t>
      </w:r>
    </w:p>
    <w:p w:rsidR="00000000" w:rsidDel="00000000" w:rsidP="00000000" w:rsidRDefault="00000000" w:rsidRPr="00000000" w14:paraId="00000059">
      <w:pPr>
        <w:pStyle w:val="Heading1"/>
        <w:rPr/>
      </w:pPr>
      <w:r w:rsidDel="00000000" w:rsidR="00000000" w:rsidRPr="00000000">
        <w:rPr>
          <w:rtl w:val="0"/>
        </w:rPr>
        <w:t xml:space="preserve">Centriole Reset: Testing Structural Organelle Rejuvenation in Somatic Cells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name (grant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ENTROPY RESET PROGRAM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8.3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2026-08-12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Jaba Tqemaladze, MD (Georgia Longevity Alliance)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 declaration.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is a falsifiable research program, not a claim of established fact. It proposes an organelle-reset paradigm: controlled centriole elimination followed by verified de novo biogenesis, tested against partial epigenetic reprogramming (OSK), with genomic integrity as a non-negotiable gate. Every statement is marked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established / [I] inference / [H] hypothesis / [P] prediction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Four levels of aging are distinguished throughout: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(organelle),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cellular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tissue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organismal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no level is assumed from the success of the previous one.</w:t>
      </w:r>
    </w:p>
    <w:p w:rsidR="00000000" w:rsidDel="00000000" w:rsidP="00000000" w:rsidRDefault="00000000" w:rsidRPr="00000000" w14:paraId="0000005C">
      <w:pPr>
        <w:pStyle w:val="Heading2"/>
        <w:rPr/>
      </w:pPr>
      <w:r w:rsidDel="00000000" w:rsidR="00000000" w:rsidRPr="00000000">
        <w:rPr>
          <w:rtl w:val="0"/>
        </w:rPr>
        <w:t xml:space="preserve">1. Focused Research Question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 Can experimentally induced centriole elimination followed by verified de novo centriole biogenesis produce measurable, OSK-independent improvements in defined cellular aging phenotypes, while preserving genomic integrity?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is deliberately narrower than “reset aging” — it is testable in a dish, pre-registrable, and falsifiable.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Explicit extrapolation boundary (per earlier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Phase 1 uses untransformed fibroblasts, which 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undergo asymmetric centrosome inheritance — Phase 1 tests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feasibility of the 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(H1) and the cellular-aging phenotype (H2),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stem-cell retention mechanism itself (which requires Phase 3 systems with demonstrated asymmetric inheritance, e.g., organoids or in vivo models). The red-thread mechanism is the motivation and the long-term target; Phase 1 does not claim to test it directly.</w:t>
      </w:r>
    </w:p>
    <w:p w:rsidR="00000000" w:rsidDel="00000000" w:rsidP="00000000" w:rsidRDefault="00000000" w:rsidRPr="00000000" w14:paraId="0000005F">
      <w:pPr>
        <w:pStyle w:val="Heading2"/>
        <w:rPr/>
      </w:pPr>
      <w:r w:rsidDel="00000000" w:rsidR="00000000" w:rsidRPr="00000000">
        <w:rPr>
          <w:rtl w:val="0"/>
        </w:rPr>
        <w:t xml:space="preserve">2. What Is Established [E]</w:t>
      </w:r>
    </w:p>
    <w:p w:rsidR="00000000" w:rsidDel="00000000" w:rsidP="00000000" w:rsidRDefault="00000000" w:rsidRPr="00000000" w14:paraId="00000060">
      <w:pPr>
        <w:pStyle w:val="Heading3"/>
        <w:rPr/>
      </w:pPr>
      <w:r w:rsidDel="00000000" w:rsidR="00000000" w:rsidRPr="00000000">
        <w:rPr>
          <w:rtl w:val="0"/>
        </w:rPr>
        <w:t xml:space="preserve">2.1 Programmed centriole elimination is real</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Kalbfuss &amp; Gönczy (2023,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 Biology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37963546): review of centriole elimination pathways.</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Kalbfuss &amp; Gönczy (2023,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Science Advances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37256957):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88% of C. elegans embryonic cells eliminate centrioles on a stereotyped schedule.</w:t>
      </w:r>
    </w:p>
    <w:p w:rsidR="00000000" w:rsidDel="00000000" w:rsidP="00000000" w:rsidRDefault="00000000" w:rsidRPr="00000000" w14:paraId="00000063">
      <w:pPr>
        <w:pStyle w:val="Heading3"/>
        <w:rPr/>
      </w:pPr>
      <w:r w:rsidDel="00000000" w:rsidR="00000000" w:rsidRPr="00000000">
        <w:rPr>
          <w:rtl w:val="0"/>
        </w:rPr>
        <w:t xml:space="preserve">2.2 De novo centriole biogenesis is real</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Khodjakov et al. (2002, PMID 12356862): vertebrate cells assemble centrosomes de novo after removal.</w:t>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Takumi &amp; Kitagawa (2022,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Front Cell Dev Biol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35445021): experimental and natural induction of de novo centriole formation.</w:t>
      </w:r>
    </w:p>
    <w:p w:rsidR="00000000" w:rsidDel="00000000" w:rsidP="00000000" w:rsidRDefault="00000000" w:rsidRPr="00000000" w14:paraId="000000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Gönczy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Nat Rev Mol Cell Biol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41310006): canonical biogenesis pathway (PLK4–STIL–SAS-6).</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Aggregate-seeded de novo model (v7.4):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CEP152–CEP63–PCNT aggregates propagate outside the centriole and seed de novo biogenesis (Ozaki et al.,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bioRxiv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40667363, preprint — disclosed as such) — a molecular description of the template-independent route this protocol must prove.</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Caveat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most proliferating cells, the dominant route is canonical (next to the existing centriole); the de novo pathway is a specialized state — the protocol must prove it was used (see §7.3).</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Centriole stability [E, v7.4]: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mechanisms underlying centriole stability are now systematically reviewed (Biven &amp; Wang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 Biol Chem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41167311) — the molecular basis for the “templated geometry change” claim (H_programmed) and its falsifiable cryo-ET test (§4.3).</w:t>
      </w:r>
    </w:p>
    <w:p w:rsidR="00000000" w:rsidDel="00000000" w:rsidP="00000000" w:rsidRDefault="00000000" w:rsidRPr="00000000" w14:paraId="0000006A">
      <w:pPr>
        <w:pStyle w:val="Heading3"/>
        <w:rPr/>
      </w:pPr>
      <w:r w:rsidDel="00000000" w:rsidR="00000000" w:rsidRPr="00000000">
        <w:rPr>
          <w:rFonts w:ascii="Arial Unicode MS" w:cs="Arial Unicode MS" w:eastAsia="Arial Unicode MS" w:hAnsi="Arial Unicode MS"/>
          <w:rtl w:val="0"/>
        </w:rPr>
        <w:t xml:space="preserve">2.2a Centriolar proteins and cellular senescence [E→I, v7.4]</w:t>
      </w:r>
    </w:p>
    <w:p w:rsidR="00000000" w:rsidDel="00000000" w:rsidP="00000000" w:rsidRDefault="00000000" w:rsidRPr="00000000" w14:paraId="000000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POC5 regulates human adipogenesis and cellular senescence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(Pistorio et al.,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FASEB J</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42507085) — a centriolar protein directly modulates a senescence-associated phenotype in primary human cells; independent support (beyond Robichaud 2024) for the centriole–senescence connection at the protein level.</w:t>
      </w:r>
    </w:p>
    <w:p w:rsidR="00000000" w:rsidDel="00000000" w:rsidP="00000000" w:rsidRDefault="00000000" w:rsidRPr="00000000" w14:paraId="0000006C">
      <w:pPr>
        <w:pStyle w:val="Heading3"/>
        <w:rPr/>
      </w:pPr>
      <w:r w:rsidDel="00000000" w:rsidR="00000000" w:rsidRPr="00000000">
        <w:rPr>
          <w:rtl w:val="0"/>
        </w:rPr>
        <w:t xml:space="preserve">2.2b The scaffold-stability argument ( rebuttal)</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Reviewer v11: “The centriole is a scaffold, not a hard disk; centrosomal proteins turn over rapidly, so PTM errors cannot accumulate.”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Rebuttal (with literature):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the centriole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semi-stable, long-lived organelle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its structural proteins (notably centriolar tubulin) are not in rapid exchange with the cytoplasmic pool; the mechanisms maintaining this stability are now systematically reviewed (Biven &amp; Wang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 Biol Chem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41167311 — “Mechanisms underlying centriole stability”); (2) the tubulin PTM code (polyglutamylation, detyrosination, Δ2-tubulin) is deposited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processively and irreversibly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assembled microtubule arrays — the relevant enzymes (TTLL5/6, CCP5) act on polymerized tubulin, and Δ2-tubulin is a terminal, non-removable modification (recent code reviews: J Biomed Sci 2026, PMID 42083040; Adv Sci 2025, PMID 40433930); (3) the centriole therefore accumulates PTM entropy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because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its subunits are retained — this is precisely the CEDAR premise, now anchored in the stability literature. Empirical resolution is pre-registered: PTM mass spectrometry on aged vs. de novo centrioles (Proof D, §6.3) directly measures whether accumulation occurs on the retained scaffold.</w:t>
      </w:r>
    </w:p>
    <w:p w:rsidR="00000000" w:rsidDel="00000000" w:rsidP="00000000" w:rsidRDefault="00000000" w:rsidRPr="00000000" w14:paraId="0000006F">
      <w:pPr>
        <w:pStyle w:val="Heading3"/>
        <w:rPr/>
      </w:pPr>
      <w:r w:rsidDel="00000000" w:rsidR="00000000" w:rsidRPr="00000000">
        <w:rPr>
          <w:rtl w:val="0"/>
        </w:rPr>
        <w:t xml:space="preserve">2.3 Centriole fate at fertilization is taxon-specific [E]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Developmental and tissue-specific roles of mammalian centrosomes are now comprehensively reviewed (Meyer-Gerards &amp; Bazzi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FEBS J</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38935637) — consolidates the [E] claims in §2.3–2.4 and the tissue-specificity caveat (Januschke 2011 neuroblast counterexample).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Mouse oocytes lose centrioles during oogenesis (Simerly 2018, PMID 30143724; Schatten 2005, PMID 15385423).</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Starfish eliminate mother and daughter centrioles by distinct mechanisms (Borrego-Pinto 2016, PMID 27002173); Drosophila via Polo/ANA1 (Pimenta-Marques 2016, PMID 27229142).</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Avidor-Reiss &amp; Fishman (2019,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Reproduction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30496124): zygotes obtain two centrioles by diverse routes — paternal structures, maternal retention, or de novo.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Correction of earlier wording [v3.0→v4.0]: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there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universal “sperm centriole = seed, not a template.”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defensible statement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 paternal centriole or centriole-derived structure can provide a platform for subsequent centriole assembly in some taxa, whereas other metazoan systems rely substantially on de novo centriole formation.</w:t>
      </w: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2.4 Asymmetric centrosome inheritance biases fate [E]</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Yamashita et al. (2007,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Science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17255513); Wang et al. (2009,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19829375); Januschke et al. (2011, PMID 21407209); Barandun et al. (2025, PMID 39764850); Zhao et al. (2025, PMID 41315244); Chen &amp; Yamashita (2021, PMID 33435817).</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Centrosome heterogeneity in stem cells regulates cell diversity (v7.6):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Camargo Ortega &amp; Götz (2022,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Trends Cell Biol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35750615) — consensus review on centrosome heterogeneity in stem cells; Bolkent (2024,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Genes to 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39379096) — mechanisms of asymmetric stem-cell division in tissue homeostasis. Both strengthen [E] status of the inheritance claim; an independent assessment of “centrosomes regulate fate via MT organization and signaling (Hedgehog/Wnt)” is consistent with, not contradictory to, CEDAR (cilium-mediated route H3/H8).</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Cilium–aging axis (v7.5):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primary cilia shape the hallmarks of health and aging (Trends Mol Med review, 2023, PMID 37137787); a primary-cilia–autophagy axis in hippocampal neurons is essential to maintain cognitive resilience in aging (Nature Aging, 2025, PMID 39984747 — note: 2025, not 2024 as previously cited). Since the primary cilium is templated on the mother centriole, these findings independently strengthen the cilium-mediated route (H3, H8) — the cilium is the functional readout of centriole age.</w:t>
      </w:r>
    </w:p>
    <w:p w:rsidR="00000000" w:rsidDel="00000000" w:rsidP="00000000" w:rsidRDefault="00000000" w:rsidRPr="00000000" w14:paraId="00000079">
      <w:pPr>
        <w:pStyle w:val="Heading3"/>
        <w:rPr/>
      </w:pPr>
      <w:r w:rsidDel="00000000" w:rsidR="00000000" w:rsidRPr="00000000">
        <w:rPr>
          <w:rtl w:val="0"/>
        </w:rPr>
        <w:t xml:space="preserve">2.5 OSK partial reprogramming is an established organism-level benchmark [E]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Ocampo et al. (2016,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27984723); Lu et al. (2020,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33268865); Sahu et al. (2024, PMID 39259812); Zhang et al. (2026, PMID 41443352); Zielke &amp; Ryan (2026, PMID 41856040).</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Level-of-evidence asymmetry (critical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OSK is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organism-level, multiply replicated benchmark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(progeria, vision, lifespan in vivo); centriole reset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cell-level, unreplicated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2×2 factorial compares them by design, but they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never presented as evidence-equivalent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OSK is the reference, reset is the candidate.</w:t>
      </w:r>
    </w:p>
    <w:p w:rsidR="00000000" w:rsidDel="00000000" w:rsidP="00000000" w:rsidRDefault="00000000" w:rsidRPr="00000000" w14:paraId="0000007C">
      <w:pPr>
        <w:pStyle w:val="Heading3"/>
        <w:rPr/>
      </w:pPr>
      <w:r w:rsidDel="00000000" w:rsidR="00000000" w:rsidRPr="00000000">
        <w:rPr>
          <w:rFonts w:ascii="Arial Unicode MS" w:cs="Arial Unicode MS" w:eastAsia="Arial Unicode MS" w:hAnsi="Arial Unicode MS"/>
          <w:rtl w:val="0"/>
        </w:rPr>
        <w:t xml:space="preserve">2.6 Germline remodeling vs. Hallmarks — precise wording [E→I]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Gametogenesis, fertilization and early embryogenesis are accompanied by extensive molecular and cellular remodeling that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overlaps conceptually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several processes implicated in aging;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whether these processes constitute a coordinated rejuvenation program across the 12 Hallmarks remains unresolved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(López-Otín et al., 2013, PMID 23746838; 2023, PMID 36599349).</w:t>
      </w:r>
    </w:p>
    <w:p w:rsidR="00000000" w:rsidDel="00000000" w:rsidP="00000000" w:rsidRDefault="00000000" w:rsidRPr="00000000" w14:paraId="0000007E">
      <w:pPr>
        <w:pStyle w:val="Heading2"/>
        <w:rPr/>
      </w:pPr>
      <w:r w:rsidDel="00000000" w:rsidR="00000000" w:rsidRPr="00000000">
        <w:rPr>
          <w:rtl w:val="0"/>
        </w:rPr>
        <w:t xml:space="preserve">3. The Causal Gap, Prior Direct Evidence, and the Causal Evidence Map</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literature establishes: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centriole age → asymmetric inheritance / cell behavior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does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centriole age → organismal aging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nor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centriole replacement → rejuvenation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pStyle w:val="Heading3"/>
        <w:rPr/>
      </w:pPr>
      <w:r w:rsidDel="00000000" w:rsidR="00000000" w:rsidRPr="00000000">
        <w:rPr>
          <w:rtl w:val="0"/>
        </w:rPr>
        <w:t xml:space="preserve">3.1 Prior direct evidence — honest dialogue (evidence-based response)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claim “no study has yet tested…” is true for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specific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combination (aging-phenotype readouts + verified de novo origin + OSK factorial), but two near-neighbor studies must be addressed explicitly, and both cut against simple expectations: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Wong et al. (2015,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Science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PMID 25931445).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Centrinone reversibly depletes centrioles.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Critically, the original abstract states: centrosome loss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irreversibly arrested normal cells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in a senescence-like G1 state by a p53-dependent mechanism; only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cancer cell lines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proliferated indefinitely after loss, and upon washout each cancer line returned to an intrinsic centrosome-number set point.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[E] Thus the “elimination → recovery” cycle has been demonstrated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only in transformed (p53-compromised) lines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normal cells the outcome was irreversible p53-dependent arrest. This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central feasibility risk for Phase 1 of this protocol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uses untransformed fibroblasts): recovery after centriole loss in normal somatic cells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 open empirical question to be demonstrated in Phase 1, not an established premise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protocol adds: aging readouts, de novo-origin verification, and OSK factorial — none measured by Wong. Novelty is therefore not the cycle, but the aging-oriented, origin-verified, factorial evaluation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 untransformed cells, where the cycle is not yet established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Tissue specificity of asymmetric inheritance (critical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claim “the ratchet is never released in the somatic stem-cell lineage”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universal even within one organism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Drosophila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GSC, the mother centrosome is retained by the stem cell (Yamashita 2007);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Drosophila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neuroblasts, the daughter centrosome is retained by the stem cell and the mother centrosome goes to the differentiating GMC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(Januschke et al., 2011,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Nature Communications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21407209; Salzmann et al., 2014). The direction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tissue-specific, not universal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protocol’s Phase 1 uses fibroblasts — a non-polarized, non-niche somatic cell in which the GSC-like vs. neuroblast-like classification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applicable by definition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(fibroblasts do not undergo asymmetric centrosome inheritance). The retention mechanism (§4.2a-6) is therefore presented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cell-type-contingent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ratchet claim is restricted to systems with demonstrated asymmetric inheritance. Counterexamples are registered, not omitted.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Renzova et al. (2018,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Stem Cell Reports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PMID 30197118).</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PLK4–STIL inactivation in human pluripotent stem cells (hESC/iPSC) causes centrosome loss → p53 stabilization → loss of self-renewal and differentiation. [E] This is the closest published experiment, and its result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 facie opposes H2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pluripotent cells. The protocol must explain why a different outcome is expected in the proposed design — see §4.2. This is the most serious prior-evidence issue and is addressed head-on, not cited around.</w:t>
      </w:r>
    </w:p>
    <w:p w:rsidR="00000000" w:rsidDel="00000000" w:rsidP="00000000" w:rsidRDefault="00000000" w:rsidRPr="00000000" w14:paraId="00000085">
      <w:pPr>
        <w:pStyle w:val="Heading3"/>
        <w:rPr/>
      </w:pPr>
      <w:r w:rsidDel="00000000" w:rsidR="00000000" w:rsidRPr="00000000">
        <w:rPr>
          <w:rtl w:val="0"/>
        </w:rPr>
        <w:t xml:space="preserve">3.2 Systematic evidence map (evidence synthesis, not quantitative meta-analysis — no comparable trials exist)</w:t>
      </w:r>
    </w:p>
    <w:tbl>
      <w:tblPr>
        <w:tblStyle w:val="Table2"/>
        <w:tblW w:w="7920.0" w:type="dxa"/>
        <w:jc w:val="center"/>
        <w:tblLayout w:type="fixed"/>
        <w:tblLook w:val="0020"/>
      </w:tblPr>
      <w:tblGrid>
        <w:gridCol w:w="5720"/>
        <w:gridCol w:w="2200"/>
        <w:tblGridChange w:id="0">
          <w:tblGrid>
            <w:gridCol w:w="5720"/>
            <w:gridCol w:w="2200"/>
          </w:tblGrid>
        </w:tblGridChange>
      </w:tblGrid>
      <w:tr>
        <w:trPr>
          <w:cantSplit w:val="0"/>
          <w:tblHeader w:val="1"/>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Causal link</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Centriole elimination is programmable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Established</w:t>
            </w:r>
            <w:r w:rsidDel="00000000" w:rsidR="00000000" w:rsidRPr="00000000">
              <w:rPr>
                <w:rtl w:val="0"/>
              </w:rPr>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De novo biogenesis is inducible</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Established</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Asymmetric centrosome inheritance affects stem-cell behavior</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Centrosomal region participates in senescence signaling</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Indirect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(Robichaud 2024, PMID 39266565)</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Centriole over-elongation occurs in pathology</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Established but disease-specific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(Köhrer 2023,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Leukemia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37821581 — plasma cell disorders;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whether analogous changes accumulate in physiological aging remains undetermined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 Centriole damage → biological aging</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Speculative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(CEDAR hypothesis)</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G. Centriole replacement → rejuvenation</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Untested</w:t>
            </w:r>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 Centriole reset → multiple hallmarks simultaneously</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Untested</w:t>
            </w:r>
            <w:r w:rsidDel="00000000" w:rsidR="00000000" w:rsidRPr="00000000">
              <w:rPr>
                <w:rtl w:val="0"/>
              </w:rPr>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 Centriole reset → organismal rejuvenation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Untested</w:t>
            </w:r>
            <w:r w:rsidDel="00000000" w:rsidR="00000000" w:rsidRPr="00000000">
              <w:rPr>
                <w:rtl w:val="0"/>
              </w:rPr>
            </w:r>
          </w:p>
        </w:tc>
      </w:tr>
    </w:tbl>
    <w:p w:rsidR="00000000" w:rsidDel="00000000" w:rsidP="00000000" w:rsidRDefault="00000000" w:rsidRPr="00000000" w14:paraId="0000009A">
      <w:pPr>
        <w:pStyle w:val="Heading3"/>
        <w:rPr/>
      </w:pPr>
      <w:r w:rsidDel="00000000" w:rsidR="00000000" w:rsidRPr="00000000">
        <w:rPr>
          <w:rtl w:val="0"/>
        </w:rPr>
        <w:t xml:space="preserve">3.2b Quantitative meta-analysis plan (per earlier review)</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quantitatively comparable outcomes exist across prototypes, a formal meta-analysis is planned (not just an evidence map):</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Outcome: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centrosome-loss checkpoint passage/arrest rate (the p53/PIDDosome arrest fraction) — comparable across Uetake 2007 (RPE1), Mikule 2007 (RPE1 + tumor lines), Bazzi 2014 (mouse embryo), Wong 2015 (normal vs. cancer lines).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Estimator: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random-effects (DerSimonian–Laird) proportion meta-analysis; I² heterogeneity; forest plot.</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Limitation (pre-specified):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 = 4–6 studies is small; the analysis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descriptive of heterogeneity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confirmatory; individual-study definitions of “arrest” differ (G1 arrest vs. apoptosis vs. senescence-like) — subgrouping by assay.</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extraction in progress at the time of writing; the analysis is deposited with the SAP (OSF) before any Phase 1 data.</w:t>
      </w:r>
    </w:p>
    <w:p w:rsidR="00000000" w:rsidDel="00000000" w:rsidP="00000000" w:rsidRDefault="00000000" w:rsidRPr="00000000" w14:paraId="000000A0">
      <w:pPr>
        <w:pStyle w:val="Heading3"/>
        <w:rPr/>
      </w:pPr>
      <w:r w:rsidDel="00000000" w:rsidR="00000000" w:rsidRPr="00000000">
        <w:rPr>
          <w:rtl w:val="0"/>
        </w:rPr>
        <w:t xml:space="preserve">3.3 Novelty statement (per review — dialogue, not “first”)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 our knowledge, no study has yet directly tested whether controlled centriole elimination followed by bona fide de novo biogenesis — with four independent proofs of de novo origin — produces OSK-independent improvements in defined cellular aging phenotypes (CRCS) in somatic 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Wong 2015 restored proliferation without aging readouts; Renzova 2018 showed differentiation upon acute loss in pluripotent cells (discussed in §4.2). The present program bridges the gap between these two results. (Systematic search re-verified before submission: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elimination AND rejuvenation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0 hits;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centrinone AND rejuvenation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0;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 novo centriole AND rejuvenation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0.)</w:t>
      </w:r>
    </w:p>
    <w:p w:rsidR="00000000" w:rsidDel="00000000" w:rsidP="00000000" w:rsidRDefault="00000000" w:rsidRPr="00000000" w14:paraId="000000A2">
      <w:pPr>
        <w:pStyle w:val="Heading3"/>
        <w:rPr/>
      </w:pPr>
      <w:r w:rsidDel="00000000" w:rsidR="00000000" w:rsidRPr="00000000">
        <w:rPr>
          <w:rFonts w:ascii="Arial Unicode MS" w:cs="Arial Unicode MS" w:eastAsia="Arial Unicode MS" w:hAnsi="Arial Unicode MS"/>
          <w:rtl w:val="0"/>
        </w:rPr>
        <w:t xml:space="preserve">3.4 Extended review: all “elimination → recovery” experiments (critical assessment)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Systematic search (PubMed, 2026-08-11) identified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experiments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eliminated centrosomes/centrioles and examined recovery. They divide into four families: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Family 1 — Physical ablation (laser/microsurgery): the de novo pathway was defined here</w:t>
      </w:r>
      <w:r w:rsidDel="00000000" w:rsidR="00000000" w:rsidRPr="00000000">
        <w:rPr>
          <w:rtl w:val="0"/>
        </w:rPr>
      </w:r>
    </w:p>
    <w:tbl>
      <w:tblPr>
        <w:tblStyle w:val="Table3"/>
        <w:tblW w:w="7919.000000000001" w:type="dxa"/>
        <w:jc w:val="center"/>
        <w:tblLayout w:type="fixed"/>
        <w:tblLook w:val="0020"/>
      </w:tblPr>
      <w:tblGrid>
        <w:gridCol w:w="866"/>
        <w:gridCol w:w="990"/>
        <w:gridCol w:w="3836"/>
        <w:gridCol w:w="2227"/>
        <w:tblGridChange w:id="0">
          <w:tblGrid>
            <w:gridCol w:w="866"/>
            <w:gridCol w:w="990"/>
            <w:gridCol w:w="3836"/>
            <w:gridCol w:w="2227"/>
          </w:tblGrid>
        </w:tblGridChange>
      </w:tblGrid>
      <w:tr>
        <w:trPr>
          <w:cantSplit w:val="0"/>
          <w:tblHeader w:val="1"/>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happened after elimination</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outcome</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Khodjakov et al. 2002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(JCB 158:1171–1181, PMID 12356862)</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BSC-1 (monkey fibroblasts), laser ablation in S-phase</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Acentriolar cells arrest; some assemble de novo centrosomes (γ-tubulin, pericentrin) from cytoplasm</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novo assembly possible;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one surviving centrosome suppresses the pathway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complete removal required</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Terra et al. 2005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(JCB 168:713–722, PMID 15738265)</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HeLa, microsurgical removal in S</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Cells progress through G1→S; de novo assembly in a subset</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Pathway is “derepressed” only in fully acentriolar cells; recovery restores normal cycling</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Uetake et al. 2007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(JCB 176:173–182, PMID 17227892)</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Untransformed RPE1</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p53/p21-dependent G1 arrest after centrosome removal; a subset assembles de novo</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inefficient in normal 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(most arrest); p53-deficient lines (U2OS) do not arrest</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Mikule et al. 2007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(Nat Cell Biol 9:160–170, PMID 17330329)</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RPE1 + tumor lines</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Loss/integrity disruption → p38 → p53 → p21 → G1-S arrest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p53-defective tumor cells skip arrest → aneuploidy accumulation</w:t>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Family 2 — Chemical depletion (reversible): centrinone</w:t>
      </w:r>
      <w:r w:rsidDel="00000000" w:rsidR="00000000" w:rsidRPr="00000000">
        <w:rPr>
          <w:rtl w:val="0"/>
        </w:rPr>
      </w:r>
    </w:p>
    <w:tbl>
      <w:tblPr>
        <w:tblStyle w:val="Table4"/>
        <w:tblW w:w="7919.0" w:type="dxa"/>
        <w:jc w:val="center"/>
        <w:tblLayout w:type="fixed"/>
        <w:tblLook w:val="0020"/>
      </w:tblPr>
      <w:tblGrid>
        <w:gridCol w:w="1352"/>
        <w:gridCol w:w="1545"/>
        <w:gridCol w:w="1545"/>
        <w:gridCol w:w="3477"/>
        <w:tblGridChange w:id="0">
          <w:tblGrid>
            <w:gridCol w:w="1352"/>
            <w:gridCol w:w="1545"/>
            <w:gridCol w:w="1545"/>
            <w:gridCol w:w="3477"/>
          </w:tblGrid>
        </w:tblGridChange>
      </w:tblGrid>
      <w:tr>
        <w:trPr>
          <w:cantSplit w:val="0"/>
          <w:tblHeader w:val="1"/>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outcome</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Wong et al. 2015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(Science 348:1155–1160, PMID 25931445)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RPE1, BJ + cancer lines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Centrinone (PLK4 inhibitor) depletes centrioles in ~3 days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normal cells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irreversible senescence-like p53-dependent G1 arrest (NO recovery). In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cancer lines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proliferation continues; washout returns each line to its intrinsic centriole set 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Recovery in untransformed cells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established — it is the Phase 1 question of this protocol;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aging readouts were measured in either case</w:t>
            </w: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Renzova et al. 2018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(Stem Cell Reports 11:959–972, PMID 30197118)</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hESC/iPSC</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PLK4–STIL inactivation → centrosome loss → p53 stabilization → loss of self-renewal → differentiation into 3 germ layers</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recovery intended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chronic loss; outcome opposes H2 in pluripotent cells (resolved in §4.2)</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Family 3 — Genetic models (developmental): the p53-response is universal</w:t>
      </w:r>
      <w:r w:rsidDel="00000000" w:rsidR="00000000" w:rsidRPr="00000000">
        <w:rPr>
          <w:rtl w:val="0"/>
        </w:rPr>
      </w:r>
    </w:p>
    <w:tbl>
      <w:tblPr>
        <w:tblStyle w:val="Table5"/>
        <w:tblW w:w="7919.0" w:type="dxa"/>
        <w:jc w:val="center"/>
        <w:tblLayout w:type="fixed"/>
        <w:tblLook w:val="0020"/>
      </w:tblPr>
      <w:tblGrid>
        <w:gridCol w:w="1352"/>
        <w:gridCol w:w="1545"/>
        <w:gridCol w:w="1545"/>
        <w:gridCol w:w="3477"/>
        <w:tblGridChange w:id="0">
          <w:tblGrid>
            <w:gridCol w:w="1352"/>
            <w:gridCol w:w="1545"/>
            <w:gridCol w:w="1545"/>
            <w:gridCol w:w="3477"/>
          </w:tblGrid>
        </w:tblGridChange>
      </w:tblGrid>
      <w:tr>
        <w:trPr>
          <w:cantSplit w:val="0"/>
          <w:tblHeader w:val="1"/>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outcome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Bazzi &amp; Anderson 2014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(PNAS 111:E1491–E1500, PMID 24706806)</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Mouse embryo, SAS-6 KO (acentriolar)</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Acentriolar mitosis in early embryo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p53-dependent apoptosis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some cells divide via acentriolar spindles</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recovery — lethality; proves p53 is the gatekeeper of the acentriolar state in vivo</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Xie et al. 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(Dev Cell 56:3334–3348, PMID 34932949)</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Zebrafish/mouse endoderm</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Centrioles needed to restrain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p53-mediated apoptosis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ERK signaling is absent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Context-dependent survival; reinforces p53 as the central gate</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Mikeladze-Dvali et al.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(Development 139:1670–1679, PMID 22492357)</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elegans oogenesis</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Natural programmed elimination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all 4 daughter centrioles in oocytes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somatic recovery — embryo reacquires centrioles from sperm (germline reset)</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Family 4 — Natural de novo in parthenogenesis (proof de novo suffices for development)</w:t>
      </w:r>
      <w:r w:rsidDel="00000000" w:rsidR="00000000" w:rsidRPr="00000000">
        <w:rPr>
          <w:rtl w:val="0"/>
        </w:rPr>
      </w:r>
    </w:p>
    <w:tbl>
      <w:tblPr>
        <w:tblStyle w:val="Table6"/>
        <w:tblW w:w="7918.0" w:type="dxa"/>
        <w:jc w:val="center"/>
        <w:tblLayout w:type="fixed"/>
        <w:tblLook w:val="0020"/>
      </w:tblPr>
      <w:tblGrid>
        <w:gridCol w:w="2410"/>
        <w:gridCol w:w="2754"/>
        <w:gridCol w:w="2754"/>
        <w:tblGridChange w:id="0">
          <w:tblGrid>
            <w:gridCol w:w="2410"/>
            <w:gridCol w:w="2754"/>
            <w:gridCol w:w="2754"/>
          </w:tblGrid>
        </w:tblGridChange>
      </w:tblGrid>
      <w:tr>
        <w:trPr>
          <w:cantSplit w:val="0"/>
          <w:tblHeader w:val="1"/>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Szöllosi &amp; Ozil 1991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(Biol Cell 72:61–66, PMID 1756312)</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Rabbit embryos, parthenogenetic activation (no sperm)</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novo centrioles form in blastomeres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development proceeds without any sperm-derived centriole</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Riparbelli et al. 2017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(Results Probl Cell Differ, PMID 28779329)</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Insect parthenogenesis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“Centriole renaissance” — de novo assembly supports full development in several insects</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Inoue et al. 2018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(BioEssays 40:e1700135, PMID 29522658)</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 vertebrate MTOC</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Maternal centrosomal proteins rebuild the MTOC after the germline elimination — “loss and rebirth”</w:t>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Family 5 — New chemical tools (2025–2026): toward cleaner depletion</w:t>
      </w:r>
      <w:r w:rsidDel="00000000" w:rsidR="00000000" w:rsidRPr="00000000">
        <w:rPr>
          <w:rtl w:val="0"/>
        </w:rPr>
      </w:r>
    </w:p>
    <w:tbl>
      <w:tblPr>
        <w:tblStyle w:val="Table7"/>
        <w:tblW w:w="7920.0" w:type="dxa"/>
        <w:jc w:val="center"/>
        <w:tblLayout w:type="fixed"/>
        <w:tblLook w:val="0020"/>
      </w:tblPr>
      <w:tblGrid>
        <w:gridCol w:w="2310"/>
        <w:gridCol w:w="1980"/>
        <w:gridCol w:w="3630"/>
        <w:tblGridChange w:id="0">
          <w:tblGrid>
            <w:gridCol w:w="2310"/>
            <w:gridCol w:w="1980"/>
            <w:gridCol w:w="3630"/>
          </w:tblGrid>
        </w:tblGridChange>
      </w:tblGrid>
      <w:tr>
        <w:trPr>
          <w:cantSplit w:val="0"/>
          <w:tblHeader w:val="1"/>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Study</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Relevance</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Jeong et al.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 Med Chem, PMID 41329867)</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Aminopyrazole PLK4 inhibitors</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Next-generation centrinone-class tools, higher selectivity</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PLK4-targeting reviews 2025 (v7.4)</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PLK4 as therapeutic target: breast cancer (Parsyan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Carcinogenesis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41092110), skin cancer (Jaiswal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40940791), general oncology (Muntaqua 2025,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iScience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41488365)</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Clinical pipeline context — validates PLK4 as druggable axis; informs the safety argument (§6.5b: PLK4 inhibition is not itself transforming when transient)</w:t>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PLK4-PROTAC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37279162, J Med Chem 2023)</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potent, selective, in vivo efficacious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PLK4 proteolysis-targeting chimera</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 clean, catalytic depletion — no sustained kinase-occupancy artifacts; see §6.2b</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AID2 degron on centrosomal proteins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40020058, Sci Adv 2025)</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Auxin-inducible degron 2 (TIR1) degrades essential centrosome protein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CEP192 in live mice</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 that AID2 achieves rapid, reversible, sustained degradation of centrosomal proteins in vivo — the template for SAS-6/PLK4 degron lines</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Lu et al.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(Cell Reports, PMID 40974574)</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MCIDAS nuclear-cytoplasmic translocation</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 novo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centriole amplification (multiciliogenesis) — the natural “boost” mechanism</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FBXW7-mediated endogenous Plk4 degradation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41453690, JBC 2026)</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E3 ligase degrades hyper-phosphorylated Plk4 — the cell’s own copy-number brake</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Perspective for genetic modulation of elimination kinetics (not a chemical tool)</w:t>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Synthesis for this protocol (evidence-based response):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the p53/p21 arrest after centrosome loss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universal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(Khodjakov, La Terra, Uetake, Mikule, Bazzi, Xie) — justifying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targeted p53-override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a mandatory component;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v7.0 precision upgrade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arrest is mediated by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mitotic surveillance pathway 53BP1–USP28–p53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(Fong 2016, eLife; Meitinger 2016, JCB; Wang 2021, EMBO J — in vivo microcephaly), NOT the classical DNA-damage response — therefore global pifithrin-α is replaced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selective USP25/28 inhibition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(Bratt 2025, Cell Chem Biol; Hernandez-Olmos 2026, J Med Chem), which unlatches only the USP28 bridge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preserves the p53 response to genuine DNA damage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protecting the Genome-integrity gate (H5); pifithrin-α is retained only as the arm-E comparator (see §6.1);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v7.3 addition : the complementary PIDDosome arm is registered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supernumerary/aged centrosomes activate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PIDDosome–p53 axis via centriolar distal appendages/ANKRD26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(Fava 2017, Genes Dev; 2021 EMBO J, PMID 33350486) and extra centrosomes induce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PIDD1-mediated inflammation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(2023 EMBO J, PMID 37530438); the protocol therefore monitors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both directions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centrosome–p53 surveillance axis — loss (53BP1–USP28) and amplification (PIDDosome/ANKRD26) — with the centriole-number gate E (exactly 2) as the switch that prevents either arm from firing post-recovery; (2) recovery of division after centrinone washout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proven only in transformed lines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(Wong 2015 — corrected in v5.6) and aging phenotypes were never measured — our CRCS closes exactly that gap; (3) de novo assembly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inefficient/error-prone in untransformed 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(Uetake 2007; La Terra 2005 — initial numbers uncontrolled) — motivating the PLK4-pulse boost, number titration, and the 4-proof verification; (4) parthenogenesis proves de novo suffices for organismal development (Szöllosi 1991; Riparbelli 2017) — the strongest existence proof for the paradigm.</w:t>
      </w:r>
    </w:p>
    <w:p w:rsidR="00000000" w:rsidDel="00000000" w:rsidP="00000000" w:rsidRDefault="00000000" w:rsidRPr="00000000" w14:paraId="000000FB">
      <w:pPr>
        <w:pStyle w:val="Heading3"/>
        <w:rPr/>
      </w:pPr>
      <w:r w:rsidDel="00000000" w:rsidR="00000000" w:rsidRPr="00000000">
        <w:rPr>
          <w:rtl w:val="0"/>
        </w:rPr>
        <w:t xml:space="preserve">3.5 The prototype chain and the actual novelty (2026-08-11,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four nearest prototypes form an ascending ladder — each solved one technical piece, and each left the same gap:</w:t>
      </w:r>
    </w:p>
    <w:tbl>
      <w:tblPr>
        <w:tblStyle w:val="Table8"/>
        <w:tblW w:w="7920.0" w:type="dxa"/>
        <w:jc w:val="center"/>
        <w:tblLayout w:type="fixed"/>
        <w:tblLook w:val="0020"/>
      </w:tblPr>
      <w:tblGrid>
        <w:gridCol w:w="2904"/>
        <w:gridCol w:w="2112"/>
        <w:gridCol w:w="2904"/>
        <w:tblGridChange w:id="0">
          <w:tblGrid>
            <w:gridCol w:w="2904"/>
            <w:gridCol w:w="2112"/>
            <w:gridCol w:w="2904"/>
          </w:tblGrid>
        </w:tblGridChange>
      </w:tblGrid>
      <w:tr>
        <w:trPr>
          <w:cantSplit w:val="0"/>
          <w:tblHeader w:val="1"/>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Prototype</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Solved</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Left open</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Khodjakov et al. 2002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 laser microsurgery)</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Centriole → removed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structure built from zero</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Cell-cycle/aging phenotype after rebuild</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 Terra et al. 2005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(HeLa, laser/needle)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Resident centrioles removed → multiple new centrioles de novo</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Number control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(initially uncontrolled); aging phenotype</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Uetake et al. 2007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(normal human cells)</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novo assembly after removal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capacity of mammalian somatic 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 cancer-cell curiosity</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Efficiency low; p53 arrest; aging phenotype</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Wong et al. 2015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(centrinone)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Chemical path: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deplete → wait → restore PLK4 → de novo rebuild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(transformed lines)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Normal-cell recovery (irreversible p53 arrest); aging phenotype</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actual novelty, stated strictly: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removing the old centriole is not new. De novo creation of a new centriole is not new.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is new is the question:</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does the aging state of the old somatic cell change as a result?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More rigorously: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old cell + old centriole → old cell + genuinely new centriole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then ask: did the cellular age phenotype change? Every prototype stopped at “the centriole came back”; none measured whether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cell came back younger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single missing measurement is this protocol.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Novelty as binding, not as “first” (, 15:36):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“nobody has done anything like this” would be wrong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more than half of the technological experiments have already been done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(Khodjakov, La Terra, Uetake, Wong solved the pieces). The real novelty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assembling the existing pieces into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aging causal 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elimination + verified de novo + aging-phenotype readouts + OSK factorial + safety gate — none of the prototypes performed the binding. The novelty claim is therefore about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integration into a causal test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explicitly not about the individual technologies.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(13 puzzle pieces — schematic only, v8.0):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docs/ENTROPY_RESET_13_PUZZLES.png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12 Hallmarks of Aging + centriole elimination &amp; de novo synthesis assembling into one picture.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this is explicitly labeled a schematic for grant/lecture use, NOT a claim that the centriole is a 13th hallmark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in the publication it moves to supplementary material with the caption “schematic; the centriole is a candidate mechanistic axis, not an additional hallmark.”</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 our knowledge, no study has yet directly tested whether controlled centriole elimination followed by bona fide de novo biogenesis — with four independent proofs of de novo origin — produces OSK-independent improvements in defined cellular aging phenotypes (CRCS) in somatic cells.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Wong 2015 restored proliferation without aging readouts; Renzova 2018 showed differentiation upon acute loss in pluripotent cells (discussed in §4.2). The present program bridges the gap between these two results. (Systematic search re-verified before submission.)</w:t>
      </w:r>
    </w:p>
    <w:p w:rsidR="00000000" w:rsidDel="00000000" w:rsidP="00000000" w:rsidRDefault="00000000" w:rsidRPr="00000000" w14:paraId="00000110">
      <w:pPr>
        <w:pStyle w:val="Heading2"/>
        <w:rPr/>
      </w:pPr>
      <w:r w:rsidDel="00000000" w:rsidR="00000000" w:rsidRPr="00000000">
        <w:rPr>
          <w:rtl w:val="0"/>
        </w:rPr>
        <w:t xml:space="preserve">4. Hypotheses (pre-registered, falsifiable)</w:t>
      </w:r>
    </w:p>
    <w:tbl>
      <w:tblPr>
        <w:tblStyle w:val="Table9"/>
        <w:tblW w:w="7919.0" w:type="dxa"/>
        <w:jc w:val="center"/>
        <w:tblLayout w:type="fixed"/>
        <w:tblLook w:val="0020"/>
      </w:tblPr>
      <w:tblGrid>
        <w:gridCol w:w="1092"/>
        <w:gridCol w:w="3004"/>
        <w:gridCol w:w="3823"/>
        <w:tblGridChange w:id="0">
          <w:tblGrid>
            <w:gridCol w:w="1092"/>
            <w:gridCol w:w="3004"/>
            <w:gridCol w:w="3823"/>
          </w:tblGrid>
        </w:tblGridChange>
      </w:tblGrid>
      <w:tr>
        <w:trPr>
          <w:cantSplit w:val="0"/>
          <w:tblHeader w:val="1"/>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Falsified if</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H1 (Mechanistic)</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Controlled elimination + bona fide de novo biogenesis is feasible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untransformed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somatic cells</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novo origin cannot be demonstrated (remnant regeneration instead);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 recovery is blocked by p53-dependent arrest (technical barrier, see §2.1 Wong) — this falsifies H1-as-feasibility, NOT H2</w:t>
            </w:r>
            <w:r w:rsidDel="00000000" w:rsidR="00000000" w:rsidRPr="00000000">
              <w:rPr>
                <w:rtl w:val="0"/>
              </w:rPr>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H2 (Functional)</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Cells with verified de novo centrioles improve defined cellular-aging phenotypes vs. matched controls</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 ≤ A on primary composite (CRCS)</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H3 (Independence)</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Centriole reset has an effect detectable after accounting for OSK</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significant main effect of reset in 2×2; interaction absent</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H4 (Causality)</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Rejuvenation magnitude correlates with extent/fidelity of replacement, not with the perturbation used</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Perturbation control (failed reset) shows equal effect</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H5 (Safety)</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does not increase genomic instability, aneuploidy, or abnormal centrosome number beyond acceptance criteria</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Genome-integrity gate fails in ≥5% of replicates</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H6 (p53-control)</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Transient p53 suppression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controlled variable, not a free technique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any CRCS effect is attributable to centriole reset only if it exceeds the effect of p53-suppression alone</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p53-suppression-only arm (no reset) matches reset arm on CRCS</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H6’ (USP28-specificity, v7.0)</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targeted USP28-inhibitor override does not globally disable p53: cells pass the acentriolar window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retain a functional p53 response to independent DNA damage</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Etoposide challenge (γH2AX/p21 induction) fails in USP28-treated cells, OR checkpoint passage rate does not improve vs. pifithrin-α</w:t>
            </w:r>
          </w:p>
        </w:tc>
      </w:tr>
    </w:tbl>
    <w:p w:rsidR="00000000" w:rsidDel="00000000" w:rsidP="00000000" w:rsidRDefault="00000000" w:rsidRPr="00000000" w14:paraId="00000129">
      <w:pPr>
        <w:pStyle w:val="Heading3"/>
        <w:rPr/>
      </w:pPr>
      <w:r w:rsidDel="00000000" w:rsidR="00000000" w:rsidRPr="00000000">
        <w:rPr>
          <w:rtl w:val="0"/>
        </w:rPr>
        <w:t xml:space="preserve">4.2 Addressing the closest prior experiment: Renzova et al. 2018 (critical assessment)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Renzova et al. (2018, PMID 30197118) inactivated the PLK4–STIL module in human pluripotent stem cells; centrosome loss caused p53 stabilization, loss of self-renewal, and differentiation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prima facie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opposite of H2. Five design differences explain why a different outcome is expected here, and each is testable:</w:t>
      </w:r>
    </w:p>
    <w:tbl>
      <w:tblPr>
        <w:tblStyle w:val="Table10"/>
        <w:tblW w:w="7919.000000000001" w:type="dxa"/>
        <w:jc w:val="center"/>
        <w:tblLayout w:type="fixed"/>
        <w:tblLook w:val="0020"/>
      </w:tblPr>
      <w:tblGrid>
        <w:gridCol w:w="1708"/>
        <w:gridCol w:w="2174"/>
        <w:gridCol w:w="2329"/>
        <w:gridCol w:w="1708"/>
        <w:tblGridChange w:id="0">
          <w:tblGrid>
            <w:gridCol w:w="1708"/>
            <w:gridCol w:w="2174"/>
            <w:gridCol w:w="2329"/>
            <w:gridCol w:w="1708"/>
          </w:tblGrid>
        </w:tblGridChange>
      </w:tblGrid>
      <w:tr>
        <w:trPr>
          <w:cantSplit w:val="0"/>
          <w:tblHeader w:val="1"/>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Difference</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Renzova 2018</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protocol</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Rationale</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Cell type</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hESC/iPSC (pluripotent)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Somatic fibroblasts</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Pluripotency maintenance is centrosome-dependent (Renzova); fibroblast identity is not. “Centrosome loss breaks stemness” is irrelevant to a non-stem cell</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p53 state</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p53 intact → differentiation</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selective USP25/28 inhibition during the acentriolar window (v7.0; pifithrin-α as arm-E comparator)</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p53-dependent differentiation mechanism (Renzova) is blocked; the plasticity window opens without differentiation</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Duration</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Chronic loss (self-renewal impossible)</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Acute elimination → verified de novo recovery to exactly 2 centrioles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hypothesis concerns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post-recovery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not the acentriolar state</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Recovery</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None intended</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PLK4 pulse → functional centrioles (ultrastructure, ciliogenesis, faithful duplication)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 tests the rebuilt organelle, not loss itself</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Readouts</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Self-renewal markers</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Aging phenotypes (CRCS), not stemness</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self-renewal in Renzova is not a measure of cellular rejuvenation</w:t>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 Prediction: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in somatic fibroblasts with p53 suppressed during the window and centrioles rebuilt de novo to 2 per cell, the Renzova outcome (differentiation) should not occur, while CRCS improvement may. If differentiation/self-renewal loss occurs anyway → H2 falsified (pre-registered). Renzova is treated as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prior evidence to be overcome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ignored.</w:t>
      </w:r>
    </w:p>
    <w:p w:rsidR="00000000" w:rsidDel="00000000" w:rsidP="00000000" w:rsidRDefault="00000000" w:rsidRPr="00000000" w14:paraId="00000144">
      <w:pPr>
        <w:pStyle w:val="Heading3"/>
        <w:rPr/>
      </w:pPr>
      <w:r w:rsidDel="00000000" w:rsidR="00000000" w:rsidRPr="00000000">
        <w:rPr>
          <w:rtl w:val="0"/>
        </w:rPr>
        <w:t xml:space="preserve">4.2a The differentiation-ratchet interpretation: why Renzova actually supports the paradigm [H]</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Renzova 2018 is not merely a counter-example to be overcome — under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centriole-as-differentiation-ratchet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hypothesis it is direct supporting evidence. The hypothesis: the centriole/centrosome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ratchet that locks the cell’s current differentiation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does not only count divisions; it anchors identity.</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Direction of the ratchet: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stem/pluripotent → differentiated (normally irreversible; reprogramming is the rare exception).</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Removing the ratchet (centriole loss) releases the anchor:</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pluripotent cell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(Renzova 2018): the anchor of pluripotency is removed → the cell rolls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down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the ratchet → spontaneous differentiation into three germ layers. This is exactly what a ratchet model predicts: without the anchor, the pluripotent state cannot be maintained.</w:t>
      </w:r>
    </w:p>
    <w:p w:rsidR="00000000" w:rsidDel="00000000" w:rsidP="00000000" w:rsidRDefault="00000000" w:rsidRPr="00000000" w14:paraId="0000014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somatic cell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(this protocol): the anchor of the differentiated state is removed → the cell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plastic</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(neither pushed down — it is already at the bottom — nor locked in place) → the plasticity window opens →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de novo centriole re-locks a new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(reprogrammed/rejuvenated).</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Molecular mechanism [H]: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CEDAR-γ —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hypothetical centriolar state-locking mechanism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(placeholder term; formally “Centrosome-Associated Memory Complex” — see caveat below) on the mother centriole is the ratchet pawl: it maintains the differentiated state. Centriole loss releases the pawl; de novo assembly installs a fresh pawl that locks the new state.</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CAMC caveat (v8.0):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critical assessment noted that “Centrosome-Associated Memory Complex”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an established structure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the literature. It is therefore renamed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“hypothetical centriolar state-locking mechanism”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all submission text, and the molecular burden is placed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specific candidate carriers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rather than an unobserved complex: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distal appendages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ANKRD26–PIDD1 site — PIDDosome axis, Fava 2017, PMID 28130345; ANKRD26–PIDD1 recruitment, PMID 33350495) as a candidate architectural anchor of “age/identity”; (b)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PTM code on the mother centriole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(polyGlu, Δ2-tubulin) as the state-bearing substrate; (c)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CEP152/PCNT-containing PCM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the signaling-competence layer. The state-lock hypothesis is retained, but its molecular implementation is now falsifiable per-candidate (each candidate has a perturbation arm), not tied to an unobserved complex.</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CEDAR unified definition (v5.2):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CEDAR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entriolar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ntropy-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ccumulation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atchet — is one ratchet with two modes of action: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the counter mode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(CEDAR-α/β): semi-conservative duplication accumulates entropy/damage with each division (β·t, −λ·N_asym);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the state-lock mode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(CEDAR-γ): the same organelle acts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differentiation ratchet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that locks the cell’s current identity (pluripotent or differentiated). Loss of the ratchet releases identity in the direction set by the starting state (Renzova: pluripotent → down; this protocol: differentiated → plastic → re-locked younger). The two modes explain both the aging counter and the reprogramming barrier as one mechanism.</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Related models (links only):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MCARA (Multi-Counter Architecture of Replicative Aging) — replicative limit as a race of several counters,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 the centriole as counter #1 (the centriolar ratchet)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~/Desktop/LC/MCARA/CONCEPT.md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(v5.8). CEDAR unified definition (centriolar counter + state-lock ratchet):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~/Desktop/LC/MCARA/CEDAR/CONCEPT.md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(v1.8).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Testable predictions that distinguish the ratchet model from a mere “stress” 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after de novo assembly, the new state must be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stably maintained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(CRCS improvements persist over serial passages — no rollback); (2) the same centriole loss in pluripotent cells causes differentiation (Renzova) while in somatic cells with p53 suppressed it causes plasticity —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direction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outcome is set by the starting state, not by the perturbation; (3) reintroducing an aged centriole into a reset cell re-locks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state (transplantation arm predicts rollback).</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Synthesis: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Renzova 2018 measured the ratchet’s release in one direction (pluripotent → down). This protocol tests the same release in the other direction (differentiated → plastic → re-locked younger). The two results are opposite sides of one mechanism — the ratchet is unidirectional, so the outcome of centriole loss depends entirely on the starting state. This is the deepest available reconciliation of the closest prior experiment with the hypothesis.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Pre-specified falsification of the ratchet model alone (evidence-based response):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ratchet model is falsified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independently of H2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either of two patterns occurs: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direction-dependence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centriole loss in somatic cells produces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outcome as in pluripotent cells (differentiation/loss of identity) despite p53 suppression and fibroblast identity, i.e., the starting state does not set the outcome; or (b)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re-locking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after verified de novo assembly the cell does not stably maintain the new state (rollback to the old phenotype within 10 passages) even though CRCS improves transiently. These are registered before data collection; they are not available as post-hoc explanations.</w:t>
      </w:r>
    </w:p>
    <w:p w:rsidR="00000000" w:rsidDel="00000000" w:rsidP="00000000" w:rsidRDefault="00000000" w:rsidRPr="00000000" w14:paraId="00000150">
      <w:pPr>
        <w:pStyle w:val="Heading3"/>
        <w:rPr/>
      </w:pPr>
      <w:r w:rsidDel="00000000" w:rsidR="00000000" w:rsidRPr="00000000">
        <w:rPr>
          <w:rtl w:val="0"/>
        </w:rPr>
        <w:t xml:space="preserve">4.3 Mechanistic hypotheses (peer-review-critical: “through what pathway?”)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mechanistic hallmark, a concrete molecular route from centriole state to phenotype is proposed (all [H], each with a specific assay):</w:t>
      </w:r>
    </w:p>
    <w:tbl>
      <w:tblPr>
        <w:tblStyle w:val="Table11"/>
        <w:tblW w:w="7919.0" w:type="dxa"/>
        <w:jc w:val="center"/>
        <w:tblLayout w:type="fixed"/>
        <w:tblLook w:val="0020"/>
      </w:tblPr>
      <w:tblGrid>
        <w:gridCol w:w="1237"/>
        <w:gridCol w:w="2722"/>
        <w:gridCol w:w="3960"/>
        <w:tblGridChange w:id="0">
          <w:tblGrid>
            <w:gridCol w:w="1237"/>
            <w:gridCol w:w="2722"/>
            <w:gridCol w:w="3960"/>
          </w:tblGrid>
        </w:tblGridChange>
      </w:tblGrid>
      <w:tr>
        <w:trPr>
          <w:cantSplit w:val="0"/>
          <w:tblHeader w:val="1"/>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Hallmark</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Mechanistic route [H]</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Pathway assay</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H3 Epigenome</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The primary cilium is templated on the mother centriole; ciliary signaling (Hedgehog–GLI, Wnt) feeds back on chromatin regulators (PRC2, TET). A fresh mother centriole → fresh cilium → rebalanced GLI/TET activity → DNA-methylation drift partially reversible</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Ciliary proteome MS; GLI1/2 activity; TET2 ChIP; EPIC clock</w:t>
            </w:r>
          </w:p>
        </w:tc>
      </w:tr>
      <w:tr>
        <w:trPr>
          <w:cantSplit w:val="0"/>
          <w:tblHeader w:val="0"/>
        </w:trPr>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H1 Genome</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Aged/supernumerary centrioles cause segregation errors (Shin 2021); a verified 2-centriole set restores error-free division.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accumulated SNVs are NOT erased — H1 is limited to segregation/structural errors</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Micronucleus, γH2AX, scDNA-seq</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H4 Proteostasis</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PolyE on aged centriolar tubulin (TTLL5/6) seeds the nucleus-to-cilium scaffold (Robichaud 2024); a polyE-free centriole removes the seed. Insoluble-aggregate burden assayed independently</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GT335; ProteoStat; insolubility assay</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H5 Autophagy</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Centriole loss induces selective autophagic clearance of centrosomal remnants; recovery normalizes flux. Measured, not assumed</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LC3 flux, p62, mito-Keima</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H7 Mitochondria</w:t>
            </w: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direct route — indirect via ciliary signaling (Wnt/mTOR) and reduced SASP-driven ROS. Covariate, not causal claim</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Seahorse; mitoSOX; heteroplasmy</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H8 Senescence</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Direct route: polyE MT scaffold → KIFC3 → FBF1 → PML (Robichaud 2024). Fresh centriole lacks the scaffold</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SA-β-gal; p16/p21; SASP panel; KIFC3/FBF1 localization</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H9 Stem cells</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Asymmetric inheritance: mother centriole retained by stem cell (Yamashita 2007, Wang 2009). A symmetric young pair removes the “pre-aged” bias</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Lineage tracing; centrosome tracking; serial passaging</w:t>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Honest scope: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routes marked direct (H4, H8, H9, H3) have a published molecular mediator,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but causality in the reset direction is untested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(correction: “direct route” → “plausible mediator, causal direction untested”); H1 is limited to segregation errors; H5, H7 are measured as covariates with no causal claim. This converts the program from “measure everything, hope” to a set of testable pathway hypotheses.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of the “programmed geometry” claim (critical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claim “templated geometry change is programmed — part of the differentiation mechanism”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assumed; it is made falsifiable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H_programmed: the geometry of de novo-assembled centrioles (cryo-ET: length, cartwheel integrity, over-elongation rate)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differs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from templated (aged) ones. Prediction: if de novo centrioles in the same cell type are geometrically indistinguishable from aged templated ones → geometry is a passive product of assembly, and the “programmed” claim is weakened; if they are systematically different (e.g., young-like length/cartwheel) → the programmed/developmentally-coupled interpretation is supported. Measured in Proof D (de novo functional verification), n = 20–30 cells/condition, cryo-ET.</w:t>
      </w:r>
    </w:p>
    <w:p w:rsidR="00000000" w:rsidDel="00000000" w:rsidP="00000000" w:rsidRDefault="00000000" w:rsidRPr="00000000" w14:paraId="0000016C">
      <w:pPr>
        <w:pStyle w:val="Heading2"/>
        <w:rPr/>
      </w:pPr>
      <w:r w:rsidDel="00000000" w:rsidR="00000000" w:rsidRPr="00000000">
        <w:rPr>
          <w:rtl w:val="0"/>
        </w:rPr>
        <w:t xml:space="preserve">5. Causal Architecture (levels of evidence ladder)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AGING → centriole structural state → centriole inheritance → stem-cell functional state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tissue regenerative capacity → age-associated phenotype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Intervention: centriole elimination → verified de novo biogenesis → functional young centriole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cellular phenotype → stem-cell phenotype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Positive control (parallel): OSK → epigenetic rejuvenation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Central experiment: OSK × centriole reset</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Proof ladder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each level possible only on success of the previous: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Organelle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structure/age (EM, cryo-ET, PTM mass spec)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division, senescence, mitochondria, epigenome (CRCS)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Stem cell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self-renewal, differentiation, regenerative capacity 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Tissue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organoid/regeneration 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Organism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healthspan/lifespan (in vivo, only if 1–4 pass)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systemic “rejuvenation” claim is made at levels 3–5 without data at those levels.</w:t>
      </w:r>
    </w:p>
    <w:p w:rsidR="00000000" w:rsidDel="00000000" w:rsidP="00000000" w:rsidRDefault="00000000" w:rsidRPr="00000000" w14:paraId="00000171">
      <w:pPr>
        <w:pStyle w:val="Heading2"/>
        <w:rPr/>
      </w:pPr>
      <w:r w:rsidDel="00000000" w:rsidR="00000000" w:rsidRPr="00000000">
        <w:rPr>
          <w:rtl w:val="0"/>
        </w:rPr>
        <w:t xml:space="preserve">6. Experimental Design</w:t>
      </w:r>
    </w:p>
    <w:p w:rsidR="00000000" w:rsidDel="00000000" w:rsidP="00000000" w:rsidRDefault="00000000" w:rsidRPr="00000000" w14:paraId="00000172">
      <w:pPr>
        <w:pStyle w:val="Heading3"/>
        <w:rPr/>
      </w:pPr>
      <w:r w:rsidDel="00000000" w:rsidR="00000000" w:rsidRPr="00000000">
        <w:rPr>
          <w:rtl w:val="0"/>
        </w:rPr>
        <w:t xml:space="preserve">6.1 The 2×2 factorial with formal interaction</w:t>
      </w:r>
    </w:p>
    <w:tbl>
      <w:tblPr>
        <w:tblStyle w:val="Table12"/>
        <w:tblW w:w="7920.0" w:type="dxa"/>
        <w:jc w:val="center"/>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Centriole reset −</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Centriole reset +</w:t>
            </w:r>
          </w:p>
        </w:tc>
      </w:tr>
      <w:tr>
        <w:trPr>
          <w:cantSplit w:val="0"/>
          <w:tblHeader w:val="0"/>
        </w:trPr>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8"/>
                <w:szCs w:val="18"/>
                <w:u w:val="none"/>
                <w:shd w:fill="auto" w:val="clear"/>
                <w:vertAlign w:val="baseline"/>
                <w:rtl w:val="0"/>
              </w:rPr>
              <w:t xml:space="preserve">OSK −</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(control)</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OSK +</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(OSK benchmark)</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(OSK + reset)</w:t>
            </w:r>
          </w:p>
        </w:tc>
      </w:tr>
    </w:tb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Statistical question (per independent verification):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“B &gt; A” alone, but — is there a significant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 effect of centriole 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 significant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OSK × reset interaction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(two-way ANOVA / mixed model)? This separates an additive mechanism from an OSK-dependent one.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Temporal-dissociation arm F (v8.2):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OSK cyclic expression takes 10–14 days (Ocampo 2016; Lu 2020); centriole elimination + de novo takes 3–5 days. In arm D (simultaneous OSK+Reset), OSK-driven cytoplasmic remodeling (chaperones, TTLL5/6) could “pre-clean” the cytoplasm before de novo assembly — making H3 (independence) untestable. Therefore a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sixth arm F is added: Reset → washout → 10 passages → OSK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testing whether the structural reset creates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long-term memory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survives subsequent cytoplasmic/epigenetic aging. Prediction under CEDAR: reset benefits persist through the washout-and-aging interval (structural memory); prediction under the confounder: benefits decay as the cytoplasm re-ages (OSK-dependent artifact). Arm F is the temporal control that makes H3 interpretable; without it, arm D cannot separate “reset independent of OSK” from “OSK pre-cleaned the cytoplasm.”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p53-suppression confounder control (critical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obtaining de novo centrioles in an untransformed cell likely requires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transient suppression of the p53/PIDDosome axis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(Wong 2015: normal cells arrest irreversibly without it). p53 suppression alone can alter hallmark readouts (genomic stability, senescence). Therefore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dedicated control arm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added: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p53-suppression only, no centriole reset, no OSK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H6 is falsified (and all reset claims are confounded) if arm E matches arm B on CRCS. This makes p53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controlled variable of design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an implicit technique.</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Targeted override — arm E’ (v7.0, revision):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p53 arrest after centrosome loss runs through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mitotic surveillance pathway 53BP1–USP28–p53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(Fong 2016, eLife; Meitinger 2016, JCB), not the classical DNA-damage response. Global pifithrin-α (arm E) disables p53 transcription globally, risking silent genomic lesions that WGS detects too late.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Arm E’ (primary override): selective USP25/28 inhibition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(Bratt 2025, Cell Chem Biol; Hernandez-Olmos 2026, J Med Chem; structural basis: Patzke 2024,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EMBO Rep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38816515) — unlatches the USP28 bridge only, leaving p53 competent for genuine damage.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Genetic alternative (v7.5):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transient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CRISPRi against USP28 or 53BP1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(dCas9-KRAB, doxycycline-inducible) achieves the same targeted override without any chemical exposure — pre-registered as the orthogonal confirmation route (chemical vs. genetic override must agree on checkpoint passage rate).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 specificity control: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arms E (pifithrin-α-only) and E’ (USP28-inhibitor-only) run in parallel, both without reset/OSK; H6’ requires: (a) checkpoint passage rate E’ ≥ E (override works), (b) etoposide-challenge p53 response preserved in E’ but not E (specificity), (c) E’ ≤ A on CRCS (no independent rejuvenation signal). If E’ fails (a), the technical-barrier gate (§13 Phase 1) applies; if E’ shows a CRCS signal matching B, all reset claims are confounded (H6 falsified).</w:t>
      </w:r>
    </w:p>
    <w:p w:rsidR="00000000" w:rsidDel="00000000" w:rsidP="00000000" w:rsidRDefault="00000000" w:rsidRPr="00000000" w14:paraId="00000180">
      <w:pPr>
        <w:pStyle w:val="Heading3"/>
        <w:rPr/>
      </w:pPr>
      <w:r w:rsidDel="00000000" w:rsidR="00000000" w:rsidRPr="00000000">
        <w:rPr>
          <w:rtl w:val="0"/>
        </w:rPr>
        <w:t xml:space="preserve">6.1a OSK × reset interaction — interpretation matrix (critical assessment)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Pre-specified interpretation of the 2×2 factorial,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locked before 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bl>
      <w:tblPr>
        <w:tblStyle w:val="Table13"/>
        <w:tblW w:w="7920.0" w:type="dxa"/>
        <w:jc w:val="center"/>
        <w:tblLayout w:type="fixed"/>
        <w:tblLook w:val="0020"/>
      </w:tblPr>
      <w:tblGrid>
        <w:gridCol w:w="2200"/>
        <w:gridCol w:w="2200"/>
        <w:gridCol w:w="1320"/>
        <w:gridCol w:w="2200"/>
        <w:tblGridChange w:id="0">
          <w:tblGrid>
            <w:gridCol w:w="2200"/>
            <w:gridCol w:w="2200"/>
            <w:gridCol w:w="1320"/>
            <w:gridCol w:w="2200"/>
          </w:tblGrid>
        </w:tblGridChange>
      </w:tblGrid>
      <w:tr>
        <w:trPr>
          <w:cantSplit w:val="0"/>
          <w:tblHeader w:val="1"/>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 effect of reset</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OSK × reset interaction</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Interpretation</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for H3</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(synergy)</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amplifies OSK beyond additivity</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supported (independence of mechanism, super-additive benefit)</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(additive)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adds to OSK independently</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supported (independent additive mechanism)</w:t>
            </w:r>
          </w:p>
        </w:tc>
      </w:tr>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(sub-additive/antagonistic)</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partially substitutes for OSK</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qualified: benefit exists but not “beyond OSK” — reframe as alternative route</w:t>
            </w:r>
          </w:p>
        </w:tc>
      </w:tr>
      <w:tr>
        <w:trPr>
          <w:cantSplit w:val="0"/>
          <w:tblHeader w:val="0"/>
        </w:trPr>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alone does nothing</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rejected</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(only with OSK)</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requires OSK context</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rejected as “independent”; mechanism is OSK-gated</w:t>
            </w:r>
          </w:p>
        </w:tc>
      </w:tr>
    </w:tbl>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interaction is interpreted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jointly with main effects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(never in isolation); the matrix is registered verbatim; deviation from the matrix requires a pre-registered amendment.</w:t>
      </w:r>
    </w:p>
    <w:p w:rsidR="00000000" w:rsidDel="00000000" w:rsidP="00000000" w:rsidRDefault="00000000" w:rsidRPr="00000000" w14:paraId="0000019B">
      <w:pPr>
        <w:pStyle w:val="Heading3"/>
        <w:rPr/>
      </w:pPr>
      <w:r w:rsidDel="00000000" w:rsidR="00000000" w:rsidRPr="00000000">
        <w:rPr>
          <w:rtl w:val="0"/>
        </w:rPr>
        <w:t xml:space="preserve">6.2 Centriolar perturbation control (the “not-a-reset” arm)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fifth condition that induces maximal comparable cellular stress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 successful de novo 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(e.g., PLK4 inhibition + recovery blocked by a biogenesis inhibitor, or abortive ablation). This discriminates: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removal → bona fide 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removal → stress → survivor selection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Any rejuvenation seen in the perturbation arm falsifies H4.</w:t>
      </w:r>
    </w:p>
    <w:p w:rsidR="00000000" w:rsidDel="00000000" w:rsidP="00000000" w:rsidRDefault="00000000" w:rsidRPr="00000000" w14:paraId="0000019D">
      <w:pPr>
        <w:pStyle w:val="Heading3"/>
        <w:rPr/>
      </w:pPr>
      <w:r w:rsidDel="00000000" w:rsidR="00000000" w:rsidRPr="00000000">
        <w:rPr>
          <w:rtl w:val="0"/>
        </w:rPr>
        <w:t xml:space="preserve">6.2b Targeted-degradation elimination route (v7.1, revision)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Rationale: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chemical PLK4 inhibition (centrinone, aminopyrazole) acts by sustained kinase occupancy;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targeted degradation removes the protein catalytically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is cleaner. Three validated routes exist (all confirmed via PubMed):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AID2 (auxin-inducible degron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TIR1-based, auxin-triggered degradation; already applied to the essential centrosome protein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CEP192 in live mice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40020058, Sci Adv 2025) — the template for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SAS-6-mAID / PLK4-mAID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degron lines (elimination by dilutive loss over ~3 divisions, as in centrinone, but without kinase-occupancy off-targets).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dTAG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FKBP12(F36V)-tagged SAS-6/PLK4 degraded by dTAG-13 (cell lines; knock-in protocol, Methods Enzymol 2023, PMID 36764753).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PLK4-PROTAC: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first potent, selective, in vivo efficacious PLK4 chimera (PMID 37279162, J Med Chem 2023) — direct chemical degradation of PLK4.</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Decision rule (pre-registered):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Phase 1 tests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AID2-SAS-6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primary elimination route (reversible, orthogonal to chemistry), with centrinone as the established comparator and PLK4-PROTAC as the alternative; the three routes must yield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concordant passage rates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before CRCS claims (route-concordance gate).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Dual-synchronization protocol (AID2 trap):</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AID2 degradation is not instantaneous (24–48 h, dilutive at division); cells already in G2 when auxin is added would enter mitosis with partially degraded centrioles → multipolar spindles → micronuclei → cGAS–STING (exactly the v7.9 trap). CDK4/6i alone does not stop G2 cells. Therefore the elimination protocol requires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two sequential blocks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aphidicolin (S-phase block)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synchronizes the population; (2) after washout,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auxin + RO-3306 (CDK1i, strict G2 block) for 12 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all cells complete DNA replication but cannot enter mitosis until SAS-6 degradation is complete (verified by western blot, &gt;90% loss). Only then is the CDK1 block released into the cytostatic window. This converts “eliminate while some cells are in G2” into “eliminate with the entire population pinned in G2.”</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Resistance caveat (v7.4):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mammalian cells can develop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resistance to auxin-inducible degradation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(Hyle et al.,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 Biol Chem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PMID 42248454 — mechanisms: degron mutation, TIR1 downregulation, pathway compensation). Therefore the route-concordance gate is not only a quality filter but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resistance screen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AID2-SAS-6 fails while chemical routes succeed, resistance — not biology — is the explanation, and the elimination route is switched (pre-registered).</w:t>
      </w:r>
    </w:p>
    <w:p w:rsidR="00000000" w:rsidDel="00000000" w:rsidP="00000000" w:rsidRDefault="00000000" w:rsidRPr="00000000" w14:paraId="000001A2">
      <w:pPr>
        <w:pStyle w:val="Heading3"/>
        <w:rPr/>
      </w:pPr>
      <w:r w:rsidDel="00000000" w:rsidR="00000000" w:rsidRPr="00000000">
        <w:rPr>
          <w:rtl w:val="0"/>
        </w:rPr>
        <w:t xml:space="preserve">6.2c The acentriolar-mitosis trap: cytostatic window + cGAS/STING dissociation arm (v7.9)</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(fatal-flaw candidate, accepted):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USP25/28 override prevents the primary 53BP1–USP28–p53 arrest, but a cell entering mitosis without centrioles forms an acentriolar spindle → lagging chromosomes → micronuclei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micronucleus rupture activates cGAS–STING</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(Mackenzie 2017, Nature, PMID 28738408; Dou 2017, Nature, PMID 28976970)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 USP28-independent senescence/SASP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bypass that forces acentriolar mitosis is therefore insufficient — it merely trades the primary arrest for a secondary inflammatory barrier.</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1 — Cytostatic window (primary):</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during the elimination→rebuild window (48–72 h),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reversible CDK1 inhibitor (RO-3306) or CDK4/6 inhibitor (palbociclib)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holds cells in G2/G1, preventing mitotic entry until exactly two functional centrioles are verified (gate E) and appendage maturation is underway. Mitosis resumes only post-verification. This converts the window from “survive mitosis without centrioles” to “never enter mitosis without centrioles” — eliminating the acentriolar-mitosis trap at its source.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2 — cGAS/STING dissociation arm (control):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parallel CRISPR-KO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cGAS or STING1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runs the same elimination protocol without the cytostatic block. Predictions: (a) if survival/passage rate rises sharply in cGAS/STING-KO vs. parental under identical override,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mitotic-error stress (not organelle loss itself) is the dominant barrier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reported as a mechanistic dissociation; (b) if KO does not rescue, cGAS-STING is not the limiting barrier and the cytostatic window is the necessary route. Either outcome is a pre-registered, interpretable result; the arm is not “remove the safety” but “localize the barrier.”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3 — PIDDosome bypass arm (v8.0):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critical assessment noted that USP28-i blocks only the 53BP1–USP28 bridge, while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PIDDosome–p53 axis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(Fava 2017; ANKRD26–PIDD1 at distal appendages, PMID 33350495) can fire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independently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upon centrosome loss/amplification — and that the cytostatic window prevents mitosis but does not prevent G1 p53 activation via PIDD1. Therefore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third bypass arm is added: transient PIDD1-KD or ANKRD26-KD (dCas9-KRAB, dox-inducible)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Phase 1, running in parallel with USP28-i and the cytostatic window. Pre-registered comparison: checkpoint passage rates under (i) USP28-i alone, (ii) PIDD1-KD alone, (iii) both, (iv) both + cytostatic window. If PIDD1-KD is required (passage rate rises only when added), the PIDDosome is a dominant G1 barrier and the override strategy is PIDD1-targeted; if USP28-i alone suffices, PIDD1 is not rate-limiting in this system. Either outcome updates the override logic pre-registered — never post-hoc.</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Safety 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cytostatic window does NOT remove the genome-integrity gate (H5) or transformation surveillance (§6.5b) — it adds a timing control that prevents the very chromosome-segregation errors those gates would otherwise detect. The three solutions together bound the v14/v15 traps: no acentriolar mitosis (window), direct barrier localization (cGAS/STING arm), and a second, USP28-independent p53 gate (PIDDosome arm).</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Clarification (peer-review rebuttal, v7.1):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targeted degradation changes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elimination route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it does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remove the need for p53-override. Loss of SAS-6/PLK4 still leaves cells acentriolar →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mitotic-surveillance p53 checkpoint still fires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(Fong 2016; Meitinger 2016). The USP25/28 override (v7.0) remains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survival gate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AID2/PROTAC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elimination gate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two are orthogonal and both mandatory.</w:t>
      </w:r>
    </w:p>
    <w:p w:rsidR="00000000" w:rsidDel="00000000" w:rsidP="00000000" w:rsidRDefault="00000000" w:rsidRPr="00000000" w14:paraId="000001A9">
      <w:pPr>
        <w:pStyle w:val="Heading3"/>
        <w:rPr/>
      </w:pPr>
      <w:r w:rsidDel="00000000" w:rsidR="00000000" w:rsidRPr="00000000">
        <w:rPr>
          <w:rtl w:val="0"/>
        </w:rPr>
        <w:t xml:space="preserve">6.3 De novo origin — four independent proofs (A–D)</w:t>
      </w:r>
    </w:p>
    <w:tbl>
      <w:tblPr>
        <w:tblStyle w:val="Table14"/>
        <w:tblW w:w="7918.0" w:type="dxa"/>
        <w:jc w:val="center"/>
        <w:tblLayout w:type="fixed"/>
        <w:tblLook w:val="0020"/>
      </w:tblPr>
      <w:tblGrid>
        <w:gridCol w:w="1721"/>
        <w:gridCol w:w="2754"/>
        <w:gridCol w:w="3443"/>
        <w:tblGridChange w:id="0">
          <w:tblGrid>
            <w:gridCol w:w="1721"/>
            <w:gridCol w:w="2754"/>
            <w:gridCol w:w="3443"/>
          </w:tblGrid>
        </w:tblGridChange>
      </w:tblGrid>
      <w:tr>
        <w:trPr>
          <w:cantSplit w:val="0"/>
          <w:tblHeader w:val="1"/>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Excludes</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Old centrioles truly gone</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Multi-marker IF (CETN2, CEP152, SAS-6) + serial EM + live imaging</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Marker-specific loss</w:t>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New centriole exists</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Dendra2-Centrin1 photoconversion; SNAP-tag pulse-chase</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Residual signal</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Genuinely de novo (no template)</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Label-free detection of new assembly; CLEM correlative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Regeneration from remnant</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 Molecular purity — SILAC (cytoplasmic-aging control)</w:t>
            </w: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SILAC pulse-chase mass spectrometry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during the de novo window: heavy-isotope labeling (Lys-8/Arg-10 or R10K8) starts at elimination; the new centriole must be assembled predominantly from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newly synthesized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tubulin/centriolar proteins (heavy-labeled), not recycled pools from the old centriole (SILAC+centrinone combination already validated: PMID 32501498)</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“Recycled old bricks” — a de novo centriole built from aged cytoplasmic building blocks would re-acquire old PTMs (oxidized tubulin, dysregulated TTLL5/6 polyglutamylation) and the “reset” would be cosmetic</w:t>
            </w:r>
          </w:p>
        </w:tc>
      </w:tr>
      <w:tr>
        <w:trPr>
          <w:cantSplit w:val="0"/>
          <w:tblHeader w:val="0"/>
        </w:trPr>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Functional</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Ultrastructure (cryo-ET), molecular composition (MS), spindle function, ciliogenesis, faithful duplication</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“Repair,” not reset</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Geometry — cryo-ET subtomogram (v7.7)</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Subtomogram-averaged cryo-ET: triplet A–C tubule angles, cartwheel integrity, dense-ring presence, over-elongation rate (n = 20–30 cells/condition, per §13); the de novo centriole must match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embryonic/young reference geometry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aged templated geometry — this is the direct, quantitative test of H_programmed</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Geometry is passive vs. programmed: if de novo geometry is indistinguishable from aged templated, the “programmed geometry” claim is weakened (pre-registered in §4.3)</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Maturation — appendages &amp; ciliogenesis (v7.7)</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novo centrioles lack distal/subdistal appendages for several cell cycles (maturation: CEP295/Ana1 — Pimenta-Marques 2024, EMBO Rep, PMID 38200359; distal centriolar protein network — Wang 2018, Nat Commun, PMID 30258116); without subdistal appendages the centriole cannot anchor MTs or template a primary cilium.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Proof D’ adds: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time-course of appendage acquisition (ODF2, Ninein, CEP295 IF + ultrastructure), first-cilium latency (ciliogenesis endpoint), and the criterion that a “functional young” centriole must be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both new AND mature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(appendages + ciliogenesis within a pre-registered window, e.g., ≤5 passages)</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“young” but immature centriole is functionally blind to niche signals — H3/H8 readouts would be confounded by maturation delay, not reset</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 Maturation boost (“Killer 2.0”)</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Optional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inducible CEP295/Ana1 expression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during the de novo window to accelerate appendage acquisition (CEP295 is the essential maturation factor — Pimenta-Marques 2024): predicts compression of first-cilium latency from ~5 cycles toward 1–2 cycles; time-course scRNA-seq + scATAC-seq tracks whether transient cilia absence perturbs the epigenetic landscape (TET/PRC2) and whether it recovers on maturation.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v7.9 addition : the cilia-deprivation stress signature is explicitly tracked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a pre-registered gene-set (Hedgehog/Wnt target genes, stress-response module: ATF4/DDIT3, NRF2, IL-6/IL-8) is scored in the scRNA/scATAC time-course, so any CRCS improvement is demonstrably not a rebound artifact of transient signaling starvation (rebound-effect control)</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Maturation-lag stress (loss of Hedgehog/Wnt signaling for 3–5 cycles) could drive Horvath-clock “aging” artifacts — the boost tests whether this confounds H2</w:t>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Number control (critical assessment)</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Exactly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centrioles/cell, functionally normal, across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N ≥ 20 independent clones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(quantitative readout, not just “de novo exists”)</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Aneuploidy / multi-centrosome contamination of downstream hallmarks (all 4 prototypes had uncontrolled numbers — this gate closes the systemic gap)</w:t>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Structural gate — STED for all clones (v8.3)</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novo assembly is error-prone even at correct number (Wang 2015, eLife 4:e10586: abnormal structures without SAS-6 self-assembly).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Super-resolution (STED) verification of 9-fold symmetry (SAS-6, CEP135) and distal appendages (CEP164, ODF2) for ALL surviving clones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 20–30-cell subset — automated image analysis (pre-registered classifier, blinded); only structurally verified clones enter CRCS</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“correct-number but structurally defective” centriole (missing cartwheel, abnormal triplets) would cause merotelic attachments and latent CIN — the number gate alone cannot exclude this</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 First-mitoses live monitoring (v8.3)</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first 3 mitoses after release from the cytostatic window are tracked live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SiR-DNA + Centrin1-GFP</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direct micronucleus count, lagging-chromosome frequency, multipolar-spindle check; any clone exceeding pre-registered thresholds (e.g., ≥2 micronuclei in first 3 divisions) is excluded and reported</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Silent CIN that only cGAS–STING would reveal later — direct visualization replaces delayed genomic detection</w:t>
            </w:r>
          </w:p>
        </w:tc>
      </w:tr>
    </w:tbl>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Cytoplasmic-environment control — the building-block source (v7.5):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cytoplasmic-aging concern (a de novo centriole assembled in old cytoplasm from oxidized tubulin / dysregulated TTLL5/6 may instantly re-acquire “old” PTMs) is addressed three ways: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SILAC Proof 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above proves the assembled structure uses newly synthesized protein (heavy-labeled), not recycled old bricks;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post-assembly PTM audit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polyglutamylation profile (GT335), Δ2-tubulin, and oxidation markers (carbonyl assay) measured on the rebuilt centriole and compared with young/aged reference centrioles (criterion: rebuilt ≤ young reference on all PTM readouts);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window-conditioning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elimination-to-rebuild window is run in fresh medium with proteostasis support (proteasome boost, antioxidant N-acetylcysteine), minimizing de novo incorporation of oxidized subunits. If SILAC shows heavy-fraction &lt; 80%, the reset claim is not admissible (pre-registered threshold).</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Cytoplasmic PTM-reset module (v7.8):</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guarantee “clean software” (not only clean hardware), the de novo window additionally includes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genetic modulation of the PTM enzyme balance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transient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CCP5/CCP6 overexpression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(deglutamylases that trim polyGlu chains) and/or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CRISPRi against TTLL5/6</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during the elimination-to-rebuild window — resetting the cytoplasmic polyglutamylation potential so the new centriole assembles with a near-zero polyGlu baseline. No selective small-molecule TTLL/CCP inhibitors exist yet (literature verified, 2026-08-11: tubulin-code reviews J Biomed Sci 2026, PMID 42083040; Cancer Metastasis Rev 2026, PMID 42257920) — the genetic route is the available tool. Readout: GT335 intensity on the rebuilt centriole must be ≤ young reference; if the PTM-reset module is required to pass this, that is a reported design result (the reset becomes a two-part intervention: organelle + cytoplasmic PTM environment).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Cytosolic clearance expansion (v7.9):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address the “old cytosol” (oxidized tubulin pool, aged modifying enzymes) beyond enzyme rebalancing, the window additionally includes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targeted clearance of oxidized proteins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transient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Nrf2 activation (TBHQ)</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proteasome boost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 if compatible with the window timing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mTORC1 inhibition (autophagy induction)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to remove oxidized/damaged cytosolic subunits before de novo assembly. Readout: carbonyl assay and oxidized-tubulin fraction must be ≤ young reference at rebuild start; these interventions are pre-registered window components, not post-hoc fixes.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Cytoplasmic epigenetic audit (“epigenetic shadow”):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prove that OSK does not indirectly “rejuvenate” the de novo centriole through cytoplasmic enzymes,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quantitative mass spectrometry of the free-tubulin pool and TTLL/CCP enzyme levels is run in ALL arms (A, B, C, D) at the 48–72 h rebuild window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arm D (OSK+Reset) shows young-like tubulin/PTM-enzyme composition BEFORE the centriole assembles, the OSK-cytoplasmic confounder is real and quantified (H3 qualified); if the tubulin/PTM-enzyme composition is comparable across arms at assembly time, the de novo centriole is assembled in a comparable biochemical environment and the reset effect is attributable to the organelle exchange. This audit — together with the temporal-dissociation arm F (§6.1) and the cytoplasmic inheritance test (§12) — completes the OSK-shadow control: two orthogonal timing controls plus one direct cytoplasmic measurement.</w:t>
      </w:r>
    </w:p>
    <w:p w:rsidR="00000000" w:rsidDel="00000000" w:rsidP="00000000" w:rsidRDefault="00000000" w:rsidRPr="00000000" w14:paraId="000001D2">
      <w:pPr>
        <w:pStyle w:val="Heading3"/>
        <w:rPr/>
      </w:pPr>
      <w:r w:rsidDel="00000000" w:rsidR="00000000" w:rsidRPr="00000000">
        <w:rPr>
          <w:rtl w:val="0"/>
        </w:rPr>
        <w:t xml:space="preserve">6.4 Safety as co-primary mechanistic gate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rejuvenation claim is admissible unless chromosome segregation, ploidy, and centrosome-number homeostasis remain normal.</w:t>
      </w:r>
      <w:r w:rsidDel="00000000" w:rsidR="00000000" w:rsidRPr="00000000">
        <w:rPr>
          <w:rtl w:val="0"/>
        </w:rPr>
      </w:r>
    </w:p>
    <w:p w:rsidR="00000000" w:rsidDel="00000000" w:rsidP="00000000" w:rsidRDefault="00000000" w:rsidRPr="00000000" w14:paraId="000001D4">
      <w:pPr>
        <w:pStyle w:val="Heading3"/>
        <w:rPr/>
      </w:pPr>
      <w:r w:rsidDel="00000000" w:rsidR="00000000" w:rsidRPr="00000000">
        <w:rPr>
          <w:rtl w:val="0"/>
        </w:rPr>
        <w:t xml:space="preserve">6.4b Centrosome-loss checkpoint and survivor selection — the biggest biological threat to interpretation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mechanisms can mimic or mask a reset effect and must be quantified, not just controlled: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Centrosome-loss checkpoint: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loss of the centrosome triggers p53/PIDDosome arrest (Wong 2015; Mikule 2007). If most cells arrest, the few that proceed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representative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reset effect (if any) is measured on a selected subpopulation.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Survivor selection: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cells that survive elimination + recovery may be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youngest/least damaged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fraction — apparent “rejuvenation” could be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selection, not 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Accounting (pre-specified):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report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checkpoint passage rate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cells completing elimination→recovery) per condition; (b) compare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pre-elimination markers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(damage load, cell size, passage history) of survivors vs. non-survivors — if survivors are systematically younger, results are qualified as selection-biased; (c)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perturbation control arm (§6.2)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arm E (p53-suppression-only)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jointly isolate the reset contribution; (d)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lineage tracing / single-cell live tracking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specification):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Centrin1-GFP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(centriole age &amp; fate — mother vs. daughter, de novo vs. templated)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p16-mCherry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(senescence onset) dual-reporter live imaging, tracking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same cell</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through elimination → de novo rebuild → serial passages, proving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identical cell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improved (not a younger subclone taking over). These four measures convert the checkpoint/selection threat from a confounder into a reported, bounded quantity.</w:t>
      </w:r>
    </w:p>
    <w:p w:rsidR="00000000" w:rsidDel="00000000" w:rsidP="00000000" w:rsidRDefault="00000000" w:rsidRPr="00000000" w14:paraId="000001D7">
      <w:pPr>
        <w:pStyle w:val="Heading3"/>
        <w:rPr/>
      </w:pPr>
      <w:r w:rsidDel="00000000" w:rsidR="00000000" w:rsidRPr="00000000">
        <w:rPr>
          <w:rtl w:val="0"/>
        </w:rPr>
        <w:t xml:space="preserve">6.5 Genome-integrity gate (stronger than diploidy)</w:t>
      </w:r>
    </w:p>
    <w:tbl>
      <w:tblPr>
        <w:tblStyle w:val="Table15"/>
        <w:tblW w:w="7920.0" w:type="dxa"/>
        <w:jc w:val="center"/>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Readout</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Ploidy</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Karyotype, FISH</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Aneuploidy</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scDNA-seq copy number</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Structural damage</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Micronuclei, translocations, rearrangements</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Mutation burden</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WGS SNVs/indels</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Replication stress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γH2AX, 53BP1, RPA foci</w:t>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Invariant wording (per independent verification):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program proceeds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 meiotic chromosome reduction or meiotic recombination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retaining normal somatic DNA-repair capacity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5">
      <w:pPr>
        <w:pStyle w:val="Heading3"/>
        <w:rPr/>
      </w:pPr>
      <w:r w:rsidDel="00000000" w:rsidR="00000000" w:rsidRPr="00000000">
        <w:rPr>
          <w:rtl w:val="0"/>
        </w:rPr>
        <w:t xml:space="preserve">6.5b Transformation surveillance (cancer-risk response)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 addressed: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could the transient USP25/28 override + acentriolar window push cells toward neoplastic transformation? The design answers this with five independent, pre-registered checks — any one failing disqualifies the clone and, if ≥5% of replicates, triggers the safety futility stop (§8):</w:t>
      </w:r>
    </w:p>
    <w:tbl>
      <w:tblPr>
        <w:tblStyle w:val="Table16"/>
        <w:tblW w:w="7918.000000000001" w:type="dxa"/>
        <w:jc w:val="center"/>
        <w:tblLayout w:type="fixed"/>
        <w:tblLook w:val="0020"/>
      </w:tblPr>
      <w:tblGrid>
        <w:gridCol w:w="1179"/>
        <w:gridCol w:w="1179"/>
        <w:gridCol w:w="4044"/>
        <w:gridCol w:w="1516"/>
        <w:tblGridChange w:id="0">
          <w:tblGrid>
            <w:gridCol w:w="1179"/>
            <w:gridCol w:w="1179"/>
            <w:gridCol w:w="4044"/>
            <w:gridCol w:w="1516"/>
          </w:tblGrid>
        </w:tblGridChange>
      </w:tblGrid>
      <w:tr>
        <w:trPr>
          <w:cantSplit w:val="0"/>
          <w:tblHeader w:val="1"/>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Assay</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Pre-specified criterion</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Catches</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p53 re-competence (H6’)</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Etoposide challenge → γH2AX/p21 induction after window</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p53 response restored in ≥90% of surviving clones</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Cells that lost p53 function during the window (the Wong 2015 / Mikule 2007 cancer-like state)</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Karyotype/ploidy</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Metaphase spreads, FISH (centromeric probes)</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Diploid, no structural rearrangements in ≥95% of spreads</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Aneuploidy, translocations acquired during the window</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Immortalization screen</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Serial passaging beyond Hayflick limit with no hTERT introduced</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growth past expected senescence horizon (fibroblasts: no spontaneous immortalization)</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Cells that acquired replicative immortality — the hallmark of transformation in vitro</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Anchorage-independent growth</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Soft-agar colony assay (Phase 2, n=3 donors × arms)</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Zero colonies above background (normal fibroblasts are anchorage-dependent)</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Classic in vitro transformation phenotype</w:t>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Clonal dynamics</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Lineage tracing (Centrin1-GFP + p16-mCherry, §6.4b) + proliferation kinetics</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outgrowth of a single clone &gt;10% of population without reset phenotype</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Subclone takeover mimicking a transformation event</w:t>
            </w:r>
          </w:p>
        </w:tc>
      </w:tr>
    </w:tbl>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Escalation option (pre-registered):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if layers 3–4 flag any clone, that clone is excluded from CRCS analysis and — only if the flag rate ≥5% per arm — the safety futility stop fires (§8) and the arm is not interpretable. If the flag rate is &lt;5%, results are reported with the flagged clones excluded and a transparent note on the residual risk.</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v7.4 addition: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polyploid giant cancer cells (PGCC) and centrosome amplification via CDT1 (Pan et al.,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Cancer Letters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PMID 41319860) added to the transformation readout panel — PGCC formation is an early, easily-scored transformation phenotype (layer 6, optional): nuclei ≥4N with giant morphology are counted in the immortalization screen (layer 3) as an additional flag.</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Transformation vs. rejuvenation dissociation (critical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reset clone that passes layers 1–2 but shows elevated proliferation (better EdU) is scored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younger, not transformed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because it retains contact inhibition (layer 4, zero soft-agar colonies), a functional p53 (layer 1), and a normal karyotype (layer 2). The trio (p53-competence + diploidy + anchorage-dependence) is the accepted in vitro definition of non-transformed; CRCS claims are only admissible for clones passing all five layers.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Biological rationale (literature, verified):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cancer-like state described in Wong 2015 (proliferation after centriole loss) and Mikule 2007 (aneuploidy accumulation) both require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sustained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p53 deficiency; our window is transient and USP28-specific, and layer 1 verifies that p53 function returns. Transient USP25/28 inhibition is therefore not equivalent to oncogenesis — but the five-layer screen is retained because the residual risk is non-zero and must be bounded, not assumed away.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Aneuploidy-rate rebuttal (v7.3):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claim that de novo assembly produces 40–60% aneuploidy — making the 5% gate “naive” — has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supporting citation in the review and no primary-source basis in the elimination literature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(Khodjakov 2002, La Terra 2005, Uetake 2007, Wong 2015 report arrest/inefficiency, not aneuploidy rates). The gate is not a population aneuploidy claim: it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per-clone admissibility criterion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the cells actually analyzed (karyotype + scDNA-seq, §6.5). The measured aneuploidy rate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reported quantity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if it is high, passage rates and clone yields are correspondingly low and Phase 1 is correctly judged infeasible at the §13 gate; if it is low, the gate holds. The protocol does not assume an aneuploidy rate; it measures it, pre-registers it as a reportable outcome, and treats it as a feasibility criterion, not an opinion.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v7.7 meta-analysis response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independent quantitative meta-analysis (88% irreversible arrest; &lt;12% de novo recovery; 4.2±1.1 cycles to maturation; 28% aneuploidy)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 reproducible from the cited sources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two key citations (Werner 2022; Fu 2016) are not found in PubMed/Europe PMC, and no extraction table or forest plot is provided. The protocol therefore treats these figures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unverifiable prior claims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as facts: (a) arrest/recovery/maturation rates are pre-registered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measured endpoints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Phase 1 (checkpoint passage rate §6.4b; maturation latency Proof D’ §6.3); (b) the maturation-latency concept itself is accepted as a design constraint (several cycles to appendage acquisition — supported by verified literature: CEP295/Ana1, Pimenta-Marques 2024; distal protein network, Wang 2018) and is now explicitly scheduled into the timeline (Proof D’); (c) the polyglutamylation-of-cytoplasm concern is partially verified — glutamylation recruits MT-nucleation factors (Hong 2025, EMBO J, PMID 40229407) — strengthening the PTM-audit and cytoplasmic-inheritance-test requirements (§6.3 C’, §12); (d) aneuploidy remains a measured, pre-registered quantity (§6.5). If Phase 1 measures rates near the unverified estimates, the program honestly stops at the §13 gate — that is the design’s purpose.</w:t>
      </w:r>
    </w:p>
    <w:p w:rsidR="00000000" w:rsidDel="00000000" w:rsidP="00000000" w:rsidRDefault="00000000" w:rsidRPr="00000000" w14:paraId="00000205">
      <w:pPr>
        <w:pStyle w:val="Heading2"/>
        <w:rPr/>
      </w:pPr>
      <w:r w:rsidDel="00000000" w:rsidR="00000000" w:rsidRPr="00000000">
        <w:rPr>
          <w:rtl w:val="0"/>
        </w:rPr>
        <w:t xml:space="preserve">7. Endpoint Architecture (hierarchical)</w:t>
      </w:r>
    </w:p>
    <w:tbl>
      <w:tblPr>
        <w:tblStyle w:val="Table17"/>
        <w:tblW w:w="7920.0" w:type="dxa"/>
        <w:jc w:val="center"/>
        <w:tblLayout w:type="fixed"/>
        <w:tblLook w:val="0020"/>
      </w:tblPr>
      <w:tblGrid>
        <w:gridCol w:w="2160"/>
        <w:gridCol w:w="3600"/>
        <w:gridCol w:w="2160"/>
        <w:tblGridChange w:id="0">
          <w:tblGrid>
            <w:gridCol w:w="2160"/>
            <w:gridCol w:w="3600"/>
            <w:gridCol w:w="2160"/>
          </w:tblGrid>
        </w:tblGridChange>
      </w:tblGrid>
      <w:tr>
        <w:trPr>
          <w:cantSplit w:val="0"/>
          <w:tblHeader w:val="1"/>
        </w:trPr>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Tier</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Endpoint</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Primary</w:t>
            </w: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Cellular Rejuvenation Composite Score (see §7.1 for pre-registered formula)</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Confirms/refutes the main hypothesis</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hallmark domains (López-Otín), 7 mechanistic: epigenome, genome stability, proteostasis, mitochondria, autophagy, senescence, stem-cell function; 5 contextual</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Mechanistic explanation</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Exploratory</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omics (scRNA-seq, scATAC-seq, methylome, proteome, phosphoproteome, metabolome)</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 generation</w:t>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Hallmarks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treated as 12 independent variables: the composite is primary; the scorecard is supportive, with correlation structure reported.</w:t>
      </w:r>
    </w:p>
    <w:p w:rsidR="00000000" w:rsidDel="00000000" w:rsidP="00000000" w:rsidRDefault="00000000" w:rsidRPr="00000000" w14:paraId="00000213">
      <w:pPr>
        <w:pStyle w:val="Heading3"/>
        <w:rPr/>
      </w:pPr>
      <w:r w:rsidDel="00000000" w:rsidR="00000000" w:rsidRPr="00000000">
        <w:rPr>
          <w:rtl w:val="0"/>
        </w:rPr>
        <w:t xml:space="preserve">7.1 CRCS Statistical Analysis Plan (pre-registered formula — peer-review response)</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composite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fully specified before data collection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prevent post-hoc weighting:</w:t>
      </w:r>
    </w:p>
    <w:p w:rsidR="00000000" w:rsidDel="00000000" w:rsidP="00000000" w:rsidRDefault="00000000" w:rsidRPr="00000000" w14:paraId="000002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proliferative competence (EdU+ fraction), clonogenic capacity (CFU), DNA-damage burden (γH2AX foci, inverse), senescence burden (SA-β-gal fraction, inverse), mitochondrial function (TMRM, normalized), epigenetic age (Horvath ΔAge, inverse).</w:t>
      </w:r>
    </w:p>
    <w:p w:rsidR="00000000" w:rsidDel="00000000" w:rsidP="00000000" w:rsidRDefault="00000000" w:rsidRPr="00000000" w14:paraId="0000021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76" w:lineRule="auto"/>
        <w:ind w:left="144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v8.2 dual-mode measurement ( — ciliary-proliferation paradox):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cell cannot simultaneously divide (EdU+, CFU) and present a primary cilium (H3/H8 signaling); fibroblasts resorb the cilium at G1/S. CRCS is therefore measured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two defined culture regimes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proliferative mode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(EdU+, CFU, γH2AX, SA-β-gal, TMRM, Horvath-on-dividing-clones — as in v7.3); (b)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contact-inhibition/quiescence mode (G0)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cells at confluence with cilia present (cilium length, Hedgehog/Wnt target genes, ciliary-proteome readouts). The two modes are reported as separate domains of the composite (not pooled across incompatible phases), and the cilia-dependent hypotheses (H3, H8) are evaluated in mode (b) only. This removes the biological impossibility an assessor identified (measuring EdU and cilia in the same cell at the same time).</w:t>
      </w:r>
    </w:p>
    <w:p w:rsidR="00000000" w:rsidDel="00000000" w:rsidP="00000000" w:rsidRDefault="00000000" w:rsidRPr="00000000" w14:paraId="000002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Normalization (v7.3 — kinetic correction):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component z-scored against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arm (A) distribution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within the same donor line and batch (mean 0, SD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additionally, the epigenetic-age component is normalized for cell-cycle kinetics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because Horvath clocks track division rate, a stressed slow-cycling cell can show artifactually youthful methylation . The Horvath ΔAge component is therefore evaluated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only in proliferating clones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(FACS-purified EdU+ fraction) and reported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both raw and normalized to population-doubling time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(PDT); discordance between raw and PDT-normalized epigenetic age is reported explicitly, and CRCS is considered invalid if the epigenetic component moves opposite to EdU+ (see rule 4).</w:t>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Weights: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fixed equal weights (1/6) — locked at pre-registration; no post-hoc reweighting. Sensitivity analysis removes one component at a time (leave-one-out).</w:t>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Direction: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components oriented so higher = younger; a priori rule that the composite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invalid</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if ≥2 components move in opposite directions at p &lt; 0.05 (reported as discordant, not pooled).</w:t>
      </w:r>
    </w:p>
    <w:p w:rsidR="00000000" w:rsidDel="00000000" w:rsidP="00000000" w:rsidRDefault="00000000" w:rsidRPr="00000000" w14:paraId="000002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Timing gate (v8.0):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CRCS is measured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earlier than Passage 6 post-reset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only after appendage acquisition and first-cilium competence are verified (Proof D’, Proof D’’’); before Passage 6 only structural/molecular readouts are reportable. This prevents an immature, cilia-less centriole from producing a false “rejuvenated” or “aged” signal (maturation-lag confounder).</w:t>
      </w:r>
    </w:p>
    <w:p w:rsidR="00000000" w:rsidDel="00000000" w:rsidP="00000000" w:rsidRDefault="00000000" w:rsidRPr="00000000" w14:paraId="000002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TMRM sensitivity version (v8.0):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two pre-registered CRCS variants — (a) full 6-component; (b) 5-component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without TMRM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(mitochondrial marker is a covariate, §4.3 H7, not a centriole-causal readout). If the two versions diverge on the reset main effect, that is reported as an informative negative result for the mitochondrial route (not silently pooled).</w:t>
      </w:r>
    </w:p>
    <w:p w:rsidR="00000000" w:rsidDel="00000000" w:rsidP="00000000" w:rsidRDefault="00000000" w:rsidRPr="00000000" w14:paraId="000002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mixed-effects model, CRCS ~ reset × OSK + (1|donor) + (1|batch); main effect of reset and interaction reported with 95% CI.</w:t>
      </w:r>
    </w:p>
    <w:p w:rsidR="00000000" w:rsidDel="00000000" w:rsidP="00000000" w:rsidRDefault="00000000" w:rsidRPr="00000000" w14:paraId="000002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Publication: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SAP is deposited (OSF) before data collection, with the formula verbatim.</w:t>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PCA secondary score (v7.7):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principal-component composite is pre-registered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score — PC1 over the six components (loadings reported, not assumed equal), plus a dedicated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SASP-panel component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(IL-6, IL-8, MMP3, PAI-1) as an independent senescence readout. The equal-weight CRCS remains the pre-registered primary; PCA/SASP is confirmatory and reported side-by-side. Discrepancy between equal-weight and PCA scores triggers explicit reporting (not silent re-weighting).</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Latent-factor structure (collinearity):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EdU, CFU, SA-β-gal, p16/p21 are collinear; equal weighting of collinear markers understates variance and inflates significance. The composite is therefore restructured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two-latent-factor 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(pre-registered):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“Proliferative pool”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(EdU, CFU, Horvath-on-dividing)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“Stress response”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(γH2AX, SA-β-gal, TMRM, SASP), estimated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equation modeling (SEM) or orthogonalized PCA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factor loadings reported; the primary H2 claim is made on the latent-factor contrast (reset vs. control), with the equal-weight CRCS retained only as a descriptive summary index. This replaces equal weighting as the inferential basis (collinearity addressed at the model level, not by assumption).</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Single-primary-endpoint option (v8.1):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because a composite can mask component-specific effects,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 proliferative fraction is pre-registered as the single primary endpoint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H2 (with SA-β-gal as the second co-primary), and CRCS is reported as the composite secondary — so the headline claim never depends on the composite alone; the composite remains for the multi-hallmark claim.</w:t>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Bayesian sensitivity (v8.1):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pre-registered Bayesian analysis (Bayes factor for the reset main effect and the interaction; weakly informative priors, donor ICC from Phase 1/0) is reported alongside the frequentist mixed model — a null interaction is credible only if both approaches agree.</w:t>
      </w:r>
    </w:p>
    <w:p w:rsidR="00000000" w:rsidDel="00000000" w:rsidP="00000000" w:rsidRDefault="00000000" w:rsidRPr="00000000" w14:paraId="00000222">
      <w:pPr>
        <w:pStyle w:val="Heading3"/>
        <w:rPr/>
      </w:pPr>
      <w:r w:rsidDel="00000000" w:rsidR="00000000" w:rsidRPr="00000000">
        <w:rPr>
          <w:rtl w:val="0"/>
        </w:rPr>
        <w:t xml:space="preserve">7.2 Effect-size justification (evidence-based response)</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25% CRCS improvement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declared minimal detectable effect</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(MDE), not an effect estimate: with N=10/arm, SD≈1.0 (z-score metric), α=0.05, two-sided, power 0.85 yields MDE ≈ 0.25 SD units (composite).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Biological anchoring (per earlier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MDE is anchored to published OSK effect sizes on comparable readouts — OSK/OSKM partial reprogramming produces multi-hallmark improvements of comparable or larger magnitude on composite aging readouts in vivo (Ocampo 2016, PMID 27984723: partial reprogramming extended median lifespan in progeroid mice and improved multiple hallmarks; Lu 2020, PMID 33268865: OSK restored youthful methylation and vision). The 0.25 SD threshold therefore represents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conservative fraction of a known-positive benchmark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smaller effect than OSK itself would not be claimed as a rejuvenation signal), not an arbitrary number. Pilot (Phase 1, N=3/arm) will estimate the observed effect; the MDE is revised only by a pre-registered amendment, never by data inspection.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Interaction-term power (evidence-based response):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power for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OSK × reset interaction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(H3) is computed separately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mixed-model simulation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(1,000 iterations, donor/batch random effects), not by the main-effect formula — interaction detection in 2×2 designs requires substantially larger N (standard result). The simulation is run at the SAP stage (pre-data) and reports power for an interaction of Cohen’s f² = 0.10; if power &lt; 80%, either N is increased (pre-registered) or H3 is demoted from primary to secondary with the main effect of reset as the primary claim — decided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data collection, never after.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Sequential interaction analysis (v8.0):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because N=10/arm cannot power a small interaction, a pre-registered escalation is added: if at N=10/arm the interaction is not detected (p &gt; 0.10), N is escalated to 20/arm (pre-registered amendment) before a final H3 verdict; the escalation itself is reported (N, power gain) so a null interaction is a real null, not an underpowered one.</w:t>
      </w:r>
    </w:p>
    <w:p w:rsidR="00000000" w:rsidDel="00000000" w:rsidP="00000000" w:rsidRDefault="00000000" w:rsidRPr="00000000" w14:paraId="00000225">
      <w:pPr>
        <w:pStyle w:val="Heading2"/>
        <w:rPr/>
      </w:pPr>
      <w:r w:rsidDel="00000000" w:rsidR="00000000" w:rsidRPr="00000000">
        <w:rPr>
          <w:rtl w:val="0"/>
        </w:rPr>
        <w:t xml:space="preserve">8. Statistical Design</w:t>
      </w:r>
    </w:p>
    <w:tbl>
      <w:tblPr>
        <w:tblStyle w:val="Table18"/>
        <w:tblW w:w="7920.0" w:type="dxa"/>
        <w:jc w:val="center"/>
        <w:tblLayout w:type="fixed"/>
        <w:tblLook w:val="0020"/>
      </w:tblPr>
      <w:tblGrid>
        <w:gridCol w:w="2970"/>
        <w:gridCol w:w="4950"/>
        <w:tblGridChange w:id="0">
          <w:tblGrid>
            <w:gridCol w:w="2970"/>
            <w:gridCol w:w="4950"/>
          </w:tblGrid>
        </w:tblGridChange>
      </w:tblGrid>
      <w:tr>
        <w:trPr>
          <w:cantSplit w:val="0"/>
          <w:tblHeader w:val="1"/>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Element</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Specification</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factorial (+ perturbation arm), mixed-effects models (donor, batch, experimenter as random)</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test</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Main effect of reset + OSK×reset interaction on CRCS</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N = 10 replicates × 3 donor lines (young/middle/old) → &gt;85% at α = 0.05 for 25% CRCS improvement</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testing</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FDR (Benjamini–Hochberg) across secondary readouts with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pre-specified q = 0.05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(sensitivity at q = 0.10 reported); interaction terms reported with CIs</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Blinding</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Senescence scoring, EM, colony counting — blinded operators</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Pre-registration</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 + falsification criteria (Table §4)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SAP in full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(fixed CRCS weights, interaction matrix §6.1a, mixed-model formula, ICC priors, stopping boundaries, H_programmed test) registered before data collection (OSF/AsPredicted);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second independent analyst re-checks that the registered SAP matches the executed 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statistical pre-registration must be binding, not descriptive)</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Stopping rules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Efficacy futility: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interim analysis at 5 replicates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 arm</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futility stop if B ≤ A with p &gt; 0.7 (conditional power &lt; 20%, via simulation, pre-registered).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Safety futility (added per earlier review):</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symmetric pre-specified boundary — if the genome-integrity gate fails in ≥5% of replicates at interim, the trial stops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regardless of efficacy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(asymmetric monitoring: safety can stop, efficacy cannot continue past a failing gate); early-stop false-negative risk acknowledged; final N fixed unless a pre-registered boundary is crossed</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Replication</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donor lines: &lt;30, 45–55, &gt;65 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 made explicit: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“donor line” = one independent biological donor (n=1 per age stratum); the 10 replicates are biological replicates within a donor (independent vials/thaw batches), analyzed as random effects. Between-donor (age) variance is therefore estimated with n=1 per stratum — an explicit limitation; the age-stratification claim is secondary, the within-line reset effect is primary. Independent labs optional (multi-site plan).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v8.1 donor expansion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target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≥5 donor lines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per age stratum) for the age-contrast claim, with the n=3 minimum for the within-line reset claim; the expansion is a pre-registered budget item — if funding supports only n=3, the age analysis is explicitly labeled exploratory in the abstract (already done, §8 note)</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Donor/replicate/power formalism (critical assessment)</w:t>
            </w: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mixed-model specification: CRCS ~ reset × OSK + age_stratum + (1 + reset | donor) + (1 | batch) + (1 | vial);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variance components estimated (ICC) with Satterthwaite/Kenward–Roger df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power computed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simulation on the fitted model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the ANOVA formula) with donor and vial ICC entered as priors from Phase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replicates are nested within donor, never pooled as independent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unit of analysis for the age claim is the donor (n=3, explicitly underpowered for age, powered for within-line reset); report: ICC, df, CIs for all variance components; this is the full formalization of the “donor/replicate/power” hole</w:t>
            </w:r>
          </w:p>
        </w:tc>
      </w:tr>
    </w:tbl>
    <w:p w:rsidR="00000000" w:rsidDel="00000000" w:rsidP="00000000" w:rsidRDefault="00000000" w:rsidRPr="00000000" w14:paraId="0000023A">
      <w:pPr>
        <w:pStyle w:val="Heading2"/>
        <w:rPr/>
      </w:pPr>
      <w:r w:rsidDel="00000000" w:rsidR="00000000" w:rsidRPr="00000000">
        <w:rPr>
          <w:rtl w:val="0"/>
        </w:rPr>
        <w:t xml:space="preserve">9. Orthogonal Validation (conclusion independent of any single assay)</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Imaging (morphology) · Ultrastructure (EM/cryo-ET) · Molecular (centriole proteome/PTMs) · Functional (centrosomal activity) · Genomic (ploidy + structure) · Epigenomic (methylation/chromatin) · Transcriptomic (RNA-seq) · Phenotypic (division, differentiation, stress resistance).</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v8.2 technology additions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CUT&amp;RUN on centriolar-proximal chromatin</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(centrin-anchored CUT&amp;RUN) tests whether the old centriole tethers repressive H3K9me3 domains near the nucleus and whether a de novo centriole releases stemness promoters (LGR5, SOX2) — a direct centriole→3D-nuclear-architecture readout for H3;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Lattice Light-Sheet microscopy (LLSM)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Proof B/D’ in live cells — phototoxicity-free imaging of ODF2/Ninein recruitment to the maturing de novo centriole;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 situ cryo-ET (FIB-SEM)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H_programmed — 9-fold cartwheel integrity and triplet geometry of de novo vs. aged templated centrioles in the native cellular context. These are listed as available methods for the respective proofs, not additional hypotheses.</w:t>
      </w:r>
    </w:p>
    <w:p w:rsidR="00000000" w:rsidDel="00000000" w:rsidP="00000000" w:rsidRDefault="00000000" w:rsidRPr="00000000" w14:paraId="0000023D">
      <w:pPr>
        <w:pStyle w:val="Heading2"/>
        <w:rPr/>
      </w:pPr>
      <w:r w:rsidDel="00000000" w:rsidR="00000000" w:rsidRPr="00000000">
        <w:rPr>
          <w:rtl w:val="0"/>
        </w:rPr>
        <w:t xml:space="preserve">10. Regime Analysis: Where Accumulation Would Act (if confirmed)</w:t>
      </w:r>
    </w:p>
    <w:tbl>
      <w:tblPr>
        <w:tblStyle w:val="Table19"/>
        <w:tblW w:w="7920.0" w:type="dxa"/>
        <w:jc w:val="center"/>
        <w:tblLayout w:type="fixed"/>
        <w:tblLook w:val="0020"/>
      </w:tblPr>
      <w:tblGrid>
        <w:gridCol w:w="3168"/>
        <w:gridCol w:w="2772"/>
        <w:gridCol w:w="1980"/>
        <w:tblGridChange w:id="0">
          <w:tblGrid>
            <w:gridCol w:w="3168"/>
            <w:gridCol w:w="2772"/>
            <w:gridCol w:w="1980"/>
          </w:tblGrid>
        </w:tblGridChange>
      </w:tblGrid>
      <w:tr>
        <w:trPr>
          <w:cantSplit w:val="0"/>
          <w:tblHeader w:val="1"/>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Regime</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w:t>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Chronological age (β·t)</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Long-lived organelle accumulates PTM/stochastic damage</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[I]—[H]</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 Asymmetric stem-cell divisions (−λ·N_asym)</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Older centrosome retained by stem cell; may bias fate</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inheritance; [H] accumulation</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Differentiating daughters without elimination</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Mammals retain; C. elegans eliminates</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both strategies exist; [H] consequence</w:t>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Red thread (2026-08-11):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organism ages because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oldest centrioles — carrying the most errors — accumulate in stem cells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Templated geometry change (mother→daughter)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hypothesized to be programmed — possibly a part of the differentiation mechanism itself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(H_programmed), and is inseparable from superimposed stochastic errors; together they form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temporal entropy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retained oldest centriole. As a result, division tempo falls and niche-signal perception falls (centrosome + cilium function), so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tissue self-repair declines while self-destruction rises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(imbalance: repair↓ / destruction↑). This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cell/tissue-level hypothesis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(organismal claims require the in vivo ladder — §5 Proof Ladder levels 4–5, planned: C. elegans/organoid → mouse), retained across CEDAR (v1.8), MCARA (v5.8), and this protocol.</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regime analysis motivates the protocol; it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evidence of the causal claim.</w:t>
      </w:r>
    </w:p>
    <w:p w:rsidR="00000000" w:rsidDel="00000000" w:rsidP="00000000" w:rsidRDefault="00000000" w:rsidRPr="00000000" w14:paraId="0000024C">
      <w:pPr>
        <w:pStyle w:val="Heading2"/>
        <w:rPr/>
      </w:pPr>
      <w:r w:rsidDel="00000000" w:rsidR="00000000" w:rsidRPr="00000000">
        <w:rPr>
          <w:rtl w:val="0"/>
        </w:rPr>
        <w:t xml:space="preserve">11. The Concept of “Entropy” — Operational Definition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“entropy” is used (program name only), it refers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disorder / damage accumulation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a defined state variable. If the physical term is used, the definition is: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S = −k_B Σ pᵢ ln pᵢ — over the state space of centriolar PTM configurations (e.g., polyglutamylation levels per tubulin site), estimated from mass spectrometry.</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Until such measurements exist, the documents use “structural disorder / candidate aging carrier” — not entropy as a physical law.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Naming (per earlier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“Entropy Reset” is retained only as the program/grants name; the publication title is deliberately neutral — “Centriole Reset: Testing Structural Organelle Rejuvenation in Somatic Cells” (as used throughout this document) — avoiding hype-driven terminology in the peer-reviewed version.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Biophysical terminology for IF 18+ (v7.9):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biophysics reviewers will object that a cell is an open, non-equilibrium system and cannot “accumulate entropy” in the thermodynamic sense. The publication text therefore adopts the assessor’s recommended reframing wherever a physical term would be scrutinized: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“Irreversible PTM Drift”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Hysteresis”</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(state-dependent accumulation of terminal modifications — e.g., Δ2-tubulin, which cannot be re-tyrosinated, and asymmetric polyglutamylation — that is not erased by cytoplasmic turnover). Mapping: “temporal entropy” → “irreversible PTM drift”; “entropy-damage accumulation” → “structural hysteresis”; the formal S = −k_B Σ pᵢ ln pᵢ definition remains available in the technical appendix for readers who want the information-theoretic formalism, explicitly labeled as a model of state-space disorder, not thermodynamic entropy.</w:t>
      </w:r>
    </w:p>
    <w:p w:rsidR="00000000" w:rsidDel="00000000" w:rsidP="00000000" w:rsidRDefault="00000000" w:rsidRPr="00000000" w14:paraId="00000251">
      <w:pPr>
        <w:pStyle w:val="Heading2"/>
        <w:rPr/>
      </w:pPr>
      <w:r w:rsidDel="00000000" w:rsidR="00000000" w:rsidRPr="00000000">
        <w:rPr>
          <w:rtl w:val="0"/>
        </w:rPr>
        <w:t xml:space="preserve">12. Alternative Hypotheses (discriminated by design)</w:t>
      </w:r>
    </w:p>
    <w:tbl>
      <w:tblPr>
        <w:tblStyle w:val="Table20"/>
        <w:tblW w:w="7919.0" w:type="dxa"/>
        <w:jc w:val="center"/>
        <w:tblLayout w:type="fixed"/>
        <w:tblLook w:val="0020"/>
      </w:tblPr>
      <w:tblGrid>
        <w:gridCol w:w="1066"/>
        <w:gridCol w:w="4112"/>
        <w:gridCol w:w="2741"/>
        <w:tblGridChange w:id="0">
          <w:tblGrid>
            <w:gridCol w:w="1066"/>
            <w:gridCol w:w="4112"/>
            <w:gridCol w:w="2741"/>
          </w:tblGrid>
        </w:tblGridChange>
      </w:tblGrid>
      <w:tr>
        <w:trPr>
          <w:cantSplit w:val="0"/>
          <w:tblHeader w:val="1"/>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under protocol</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Discriminated by</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Epigenetic (OSK-centered)</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 improves, B ≈ A</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vs A</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Mitochondrial</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H7 intervention alone suffices</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H7-alone control</w:t>
            </w:r>
          </w:p>
        </w:tc>
      </w:tr>
      <w:tr>
        <w:trPr>
          <w:cantSplit w:val="0"/>
          <w:tblHeader w:val="0"/>
        </w:trPr>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Proteostatic</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H4/H5 alone suffice</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H4/H5-alone controls</w:t>
            </w:r>
          </w:p>
        </w:tc>
      </w:tr>
      <w:tr>
        <w:trPr>
          <w:cantSplit w:val="0"/>
          <w:tblHeader w:val="0"/>
        </w:trPr>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Telomeric</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hTERT alone suffices</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H2-alone control</w:t>
            </w:r>
          </w:p>
        </w:tc>
      </w:tr>
      <w:tr>
        <w:trPr>
          <w:cantSplit w:val="0"/>
          <w:tblHeader w:val="0"/>
        </w:trPr>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Stress-selection artifact</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Perturbation arm (failed reset) shows equal effect</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arm</w:t>
            </w:r>
          </w:p>
        </w:tc>
      </w:tr>
      <w:tr>
        <w:trPr>
          <w:cantSplit w:val="0"/>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CEDAR (centriolar)</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improves independently of OSK; age transfers with organelle</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Arm B + transplantation arm</w:t>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Transplantation arm (crossing):</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young→old and old→young centriole transfer; if age transfers with the organelle in both directions — a Nature/Cell-level finding.</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Cytoplasmic inheritance test (v7.7):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strongest control for “the centriole is only a mirror of the cytoplasm”: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cytoplast–karyoplast fusion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transplants a freshly reset (young, SILAC-verified) centriole into the cytoplasm of a non-reset old cell (and vice versa). Predictions: (a) if the young centriole is “corrupted” within 2 cell cycles by old cytoplasm (PTM audit: GT335, Δ2, carbonyl), the centriole is a passive mirror — CEDAR’s organelle-autonomy claim is falsified and the program reframes as cytoplasmic/PTM-environment intervention; (b) if the young centriole retains its youthful PTM state in old cytoplasm and restores ciliogenesis, the organelle is an autonomous carrier — CEDAR supported. Either outcome is a publishable causal test; the experiment is pre-registered as a decisive discriminator (§4.2a).</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Killer-experiment specification (v7.3):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strongest causal probe —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artificial centriole aging in an OSK-rejuvenated cell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is added to the transplantation arm: (1) rejuvenate a cell with OSK (epigenetically young, old centriole retained); (2) artificially age its centriole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TTLL5 overexpression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(excess polyglutamylation — the Robichaud 2024 KIFC3/FBF1/PML seed) or PLK4-driven over-elongation;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prediction: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 cell returns to senescence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despite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OSK rejuvenation, structural centriole state overrides epigenetic age — the definitive proof that the centriole is a master regulator (and the OSK paradox resolved: OSK acts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organelle, transiently). Controls: sham injection, TTLL5-inactive mutant, non-ciliary tubulin modification.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KIFC3-discrimination arm (; upgraded to mandatory Phase 1 control in v8.3):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genetic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KIFC3 knockdown/knockout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selective KIFC3 small-molecule inhibitors exist — literature verified 2026-08-11). In v8.3 the KIFC3-KD condition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elevated from an optional Phase-3 discrimination arm to a mandatory Phase 1 control branch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KIFC3 loss fully abolishes the reset effect, the centriole acts as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mechanical stress antenna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(KIFC3 scaffold route, Robichaud 2024) rather than an autonomous clock — CEDAR’s state-lock claim is reframed (still publishable, but the theory’s name/mechanism must change, (critical assessment)); if the reset effect survives KIFC3-KD, the organelle has autonomy beyond the scaffold route. Either outcome is interpretable and pre-registered; the arm is not optional.</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PIDDosome optogenetic arm (Killer 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optionally, instead of (or in addition to) TTLL5 aging, use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optogenetic dimerization to recruit PIDD1 to the distal appendages of a de novo centriole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if this alone induces senescence, the “age” of the centriole is encoded in its distal architecture (PIDDosome pathway, Fava 2017), not only in its PTM code; a clean spatial-causality test complementing the TTLL5 arm.</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OSK-paradox resolution (v7.3):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assessor’s paradox — “OSK rejuvenates without replacing centrioles, so the centriole cannot be the barrier” — is addressed explicitly and pre-registered: (1) OSK acts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below the organelle level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(epigenome, proteostasis pool), leaving structural cilium/centrosome defects intact (cilium defects persist after reprogramming); (2) OSK effects on organellar structure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resolution of the paradox requires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long-term passage (≥20 passages)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comparing OSK-only vs. reset vs. both, with the prediction that OSK-only CRCS gains decay while reset gains persist (stability is the discriminating variable — this is already the “no rollback” falsification in §4.2a); (3) the killer-experiment arm above tests the direction of causality directly.</w:t>
      </w:r>
    </w:p>
    <w:p w:rsidR="00000000" w:rsidDel="00000000" w:rsidP="00000000" w:rsidRDefault="00000000" w:rsidRPr="00000000" w14:paraId="0000026C">
      <w:pPr>
        <w:pStyle w:val="Heading2"/>
        <w:rPr/>
      </w:pPr>
      <w:r w:rsidDel="00000000" w:rsidR="00000000" w:rsidRPr="00000000">
        <w:rPr>
          <w:rtl w:val="0"/>
        </w:rPr>
        <w:t xml:space="preserve">13. Timeline &amp; Budget (realistic, phased — peer-review response)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Reviewer-correct estimate: the full scope (CLEM/cryo-ET, WGS, 2×2 + transplantation) cannot be delivered in $205K / 9–12 months. Budget is therefore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go/no-go gates:</w:t>
      </w:r>
    </w:p>
    <w:tbl>
      <w:tblPr>
        <w:tblStyle w:val="Table21"/>
        <w:tblW w:w="7920.0" w:type="dxa"/>
        <w:jc w:val="center"/>
        <w:tblLayout w:type="fixed"/>
        <w:tblLook w:val="0020"/>
      </w:tblPr>
      <w:tblGrid>
        <w:gridCol w:w="1320"/>
        <w:gridCol w:w="2376"/>
        <w:gridCol w:w="1320"/>
        <w:gridCol w:w="1320"/>
        <w:gridCol w:w="1584"/>
        <w:tblGridChange w:id="0">
          <w:tblGrid>
            <w:gridCol w:w="1320"/>
            <w:gridCol w:w="2376"/>
            <w:gridCol w:w="1320"/>
            <w:gridCol w:w="1320"/>
            <w:gridCol w:w="1584"/>
          </w:tblGrid>
        </w:tblGridChange>
      </w:tblGrid>
      <w:tr>
        <w:trPr>
          <w:cantSplit w:val="0"/>
          <w:tblHeader w:val="1"/>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Content</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Duration</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Budget</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Gate</w:t>
            </w:r>
          </w:p>
        </w:tc>
      </w:tr>
      <w:tr>
        <w:trPr>
          <w:cantSplit w:val="0"/>
          <w:tblHeader w:val="0"/>
        </w:trPr>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 Feasibility (pilot)</w:t>
            </w: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Elimination + recovery in fibroblasts; basic de novo proof (A, B); CRCS pilot (N=3/arm)</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months</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$350K</w:t>
            </w: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De novo origin provable (A+B); pilot effect ≥ 0.1 SD.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Pre-specified alternative interpretation: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recovery fails because of p53-dependent arrest (Wong 2015, Uetake 2007), this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barrier, not a falsification of CEDAR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gate then tests p53-override variants in order (v7.0: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selective USP25/28 inhibitor</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[primary, preserves p53 competence — Bratt 2025; Hernandez-Olmos 2026] → pifithrin-α → p53-KD → p21-KD) before any hypothesis-level verdict</w:t>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0 — Molecular-carrier screen (“what does the centriole carry?”)</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Mass spectrometry of isolated centrioles from early- vs. late-passage normal fibroblasts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old vs. young donors): identify which PTMs (polyGlu chain length, Δ2-tubulin, acetylation, polyglycylation, phosphorylation) actually accumulate with passage age and distinguish old from new centrioles — the empirical “molecular carrier” of the age claim; plus a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ciliary-signaling→epigenome pilot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(GLI1/2, TET2, PRC2 readouts after cilium manipulation) testing the H3 mechanism directionally before the full factorial</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months</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$120K</w:t>
            </w: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PTM species showing monotonic passage-dependent accumulation; ciliary→epigenome pilot shows a measurable signal in the predicted direction; if NO PTM accumulates, the age-carrier claim is reframed or the program redesigned (pre-registered decision point, not post-hoc)</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 Confirmatory</w:t>
            </w: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factorial + perturbation arm; full CRCS (N=10/arm × 3 lines); secondary readouts; multi-omics</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months</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$600K</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endpoint met; safety gate green</w:t>
            </w:r>
          </w:p>
        </w:tc>
      </w:tr>
      <w:tr>
        <w:trPr>
          <w:cantSplit w:val="0"/>
          <w:tblHeader w:val="0"/>
        </w:trPr>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 Deep proof &amp; transplantation</w:t>
            </w: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 C–D (CLEM/cryo-ET on selected cells — not all); transplantation arm; in vivo planning</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months</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$550K</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Phase 2 gates met</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48 months</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~$1.5M</w:t>
            </w: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CLEM/cryo-ET is applied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selectively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(proof of concept on n = 20–30 cells per condition, not full cohort) to contain cost; WGS/scDNA-seq is restricted to Phase 2 arms.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Costing basis (evidence-based response):</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academic cryo-ET facility rates ≈ $800–2,000 per grid including segmentation (2025–26 typical); WGS budget is quoted at 30× coverage, 1 sample pooled per arm × 3 donors × 4 arms = 12 samples (≈ $1,200/sample at academic rates) — both line items to be replaced by written facility quotes before submission. This budget is consistent with comparable published pipelines and replaces the unrealistic single-phase estimate. For ERC StG, Phases 1–2 ($950K) match the standard envelope; Phase 3 is a follow-up (ERC PoC / partner funding).</w:t>
      </w:r>
    </w:p>
    <w:p w:rsidR="00000000" w:rsidDel="00000000" w:rsidP="00000000" w:rsidRDefault="00000000" w:rsidRPr="00000000" w14:paraId="0000028D">
      <w:pPr>
        <w:pStyle w:val="Heading2"/>
        <w:rPr/>
      </w:pPr>
      <w:r w:rsidDel="00000000" w:rsidR="00000000" w:rsidRPr="00000000">
        <w:rPr>
          <w:rtl w:val="0"/>
        </w:rPr>
        <w:t xml:space="preserve">14. Novelty Statement (per independent verification)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novelty is not “the centriole causes aging” (too strong)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previously untested organelle-reset paradigm may complement epigenetic reprogramming by replacing a persistent structural component that is not directly erased by transcription-factor-mediated reprogramming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evaluated with pre-registered endpoints, four de novo-origin proofs, and explicit dialogue with the two closest prior experiments (Wong 2015; Renzova 2018).</w:t>
      </w:r>
    </w:p>
    <w:p w:rsidR="00000000" w:rsidDel="00000000" w:rsidP="00000000" w:rsidRDefault="00000000" w:rsidRPr="00000000" w14:paraId="0000028F">
      <w:pPr>
        <w:pStyle w:val="Heading2"/>
        <w:rPr/>
      </w:pPr>
      <w:r w:rsidDel="00000000" w:rsidR="00000000" w:rsidRPr="00000000">
        <w:rPr>
          <w:rtl w:val="0"/>
        </w:rPr>
        <w:t xml:space="preserve">14.1 Conflict of Interest / Author-Ecosystem Disclosure (critical assessment)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transparency, per journal COI standards: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Origin of the central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framework (CDATA/CEDAR) originates from the author’s own publications (Tkemaladze 2005, PMID 15886028; Tkemaladze 2023, PMID 36583780) and is cited as such — it is an author-owned hypothesis, not an independent field consensus.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 ecosystem: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author is President of Georgia Longevity Alliance and has published in outlets affiliated with this organization (Longevity Horizon, Georgian Scientists, Junior Researchers).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These publications are NOT used as evidence in this protocol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are excluded from the reference list; only PubMed-indexed sources are cited.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Self-citation: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34 references, 2 are the author’s (2005, 2023); the 2023 paper is the theoretical basis and is marked [H] throughout. This is disclosed, not hidden. 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Multiple funding tracks: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same core program is submitted to ERC StG, EIC Pathfinder (CIRCBIO-07), MIC/EU4Business/USAID, the Cologne workshop, and ARGUS-OS3.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Non-overlap statement (to prevent double-dipping):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track funds a distinct deliverable — ERC: Phase 1–2 (fibroblast reset + 2×2); CIRCBIO-07: product/industrial translation of H4/H7 readouts; MIC/USAID: biomarker pipeline application; ARGUS-OS3: causality platform (ablation + transplantation, separate species/cells). No experiment is billed to two funders. 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 competing financial interests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reagents, companies, or instruments described. 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Rhetoric alignment — disclosure in full (critical assessment):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author’s affiliated non-peer-reviewed outlets (Longevity Horizon, Georgian Scientists, Junior Researchers) have used stronger rhetoric than this protocol (e.g., headlines asserting an “established causal fact” for what is here marked [H]). Specific known instance: the 2026 headline “Asymmetric Inheritance of the Aged Mother Centriole by Stem Cells Is an Established Causal Fact” (Longevity Horizon)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inconsistent with this protocol’s [H] marking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same claim. The author explicitly distances this protocol from those headlines: the [E]/[I]/[H]/[P] marking here is the authoritative epistemic standard; conflicting phrasing in affiliated outlets is an editorial artifact of non-peer-reviewed venues and does not reflect the claims made here.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Mitigation in progress: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affiliated-outlet headlines are being revised to match [E]/[I]/[H]/[P] levels.</w:t>
      </w:r>
    </w:p>
    <w:p w:rsidR="00000000" w:rsidDel="00000000" w:rsidP="00000000" w:rsidRDefault="00000000" w:rsidRPr="00000000" w14:paraId="00000291">
      <w:pPr>
        <w:pStyle w:val="Heading2"/>
        <w:rPr/>
      </w:pPr>
      <w:r w:rsidDel="00000000" w:rsidR="00000000" w:rsidRPr="00000000">
        <w:rPr>
          <w:rtl w:val="0"/>
        </w:rPr>
        <w:t xml:space="preserve">15. References (APA 7; all verified via NCBI E-utilities, 2026-08-11)</w:t>
      </w:r>
    </w:p>
    <w:p w:rsidR="00000000" w:rsidDel="00000000" w:rsidP="00000000" w:rsidRDefault="00000000" w:rsidRPr="00000000" w14:paraId="00000292">
      <w:pPr>
        <w:numPr>
          <w:ilvl w:val="0"/>
          <w:numId w:val="9"/>
        </w:numPr>
        <w:ind w:left="720" w:hanging="360"/>
        <w:jc w:val="both"/>
        <w:rPr/>
      </w:pPr>
      <w:r w:rsidDel="00000000" w:rsidR="00000000" w:rsidRPr="00000000">
        <w:rPr>
          <w:rtl w:val="0"/>
        </w:rPr>
        <w:t xml:space="preserve">Anderson, C. T., &amp; Stearns, T. (2009). Centriole age underlies asynchronous primary cilium growth in mammalian cells. </w:t>
      </w:r>
      <w:r w:rsidDel="00000000" w:rsidR="00000000" w:rsidRPr="00000000">
        <w:rPr>
          <w:i w:val="1"/>
          <w:iCs w:val="1"/>
          <w:rtl w:val="0"/>
        </w:rPr>
        <w:t xml:space="preserve">Current Biology</w:t>
      </w:r>
      <w:r w:rsidDel="00000000" w:rsidR="00000000" w:rsidRPr="00000000">
        <w:rPr>
          <w:rtl w:val="0"/>
        </w:rPr>
        <w:t xml:space="preserve">, 19(18), 1498–1502. (PMID 19682908) — </w:t>
      </w:r>
      <w:r w:rsidDel="00000000" w:rsidR="00000000" w:rsidRPr="00000000">
        <w:rPr>
          <w:b w:val="1"/>
          <w:bCs w:val="1"/>
          <w:rtl w:val="0"/>
        </w:rPr>
        <w:t xml:space="preserve">level-of-evidence corrected to [I] in v8.1: age–growth-rate association is correlational, not causal</w:t>
      </w:r>
      <w:r w:rsidDel="00000000" w:rsidR="00000000" w:rsidRPr="00000000">
        <w:rPr>
          <w:rtl w:val="0"/>
        </w:rPr>
      </w:r>
    </w:p>
    <w:p w:rsidR="00000000" w:rsidDel="00000000" w:rsidP="00000000" w:rsidRDefault="00000000" w:rsidRPr="00000000" w14:paraId="00000293">
      <w:pPr>
        <w:numPr>
          <w:ilvl w:val="0"/>
          <w:numId w:val="9"/>
        </w:numPr>
        <w:ind w:left="720" w:hanging="360"/>
        <w:jc w:val="both"/>
        <w:rPr/>
      </w:pPr>
      <w:r w:rsidDel="00000000" w:rsidR="00000000" w:rsidRPr="00000000">
        <w:rPr>
          <w:rtl w:val="0"/>
        </w:rPr>
        <w:t xml:space="preserve">Avidor-Reiss, T., &amp; Fishman, E. L. (2019). It takes two (centrioles) to tango. </w:t>
      </w:r>
      <w:r w:rsidDel="00000000" w:rsidR="00000000" w:rsidRPr="00000000">
        <w:rPr>
          <w:i w:val="1"/>
          <w:iCs w:val="1"/>
          <w:rtl w:val="0"/>
        </w:rPr>
        <w:t xml:space="preserve">Reproduction</w:t>
      </w:r>
      <w:r w:rsidDel="00000000" w:rsidR="00000000" w:rsidRPr="00000000">
        <w:rPr>
          <w:rtl w:val="0"/>
        </w:rPr>
        <w:t xml:space="preserve">, 157(2), R33–R51. (PMID 30496124)</w:t>
      </w:r>
    </w:p>
    <w:p w:rsidR="00000000" w:rsidDel="00000000" w:rsidP="00000000" w:rsidRDefault="00000000" w:rsidRPr="00000000" w14:paraId="00000294">
      <w:pPr>
        <w:numPr>
          <w:ilvl w:val="0"/>
          <w:numId w:val="9"/>
        </w:numPr>
        <w:ind w:left="720" w:hanging="360"/>
        <w:jc w:val="both"/>
        <w:rPr/>
      </w:pPr>
      <w:r w:rsidDel="00000000" w:rsidR="00000000" w:rsidRPr="00000000">
        <w:rPr>
          <w:rtl w:val="0"/>
        </w:rPr>
        <w:t xml:space="preserve">Barandun, N., et al. (2025). Targeted localization of the mother centrosome in CD8+ T cells undergoing asymmetric cell division. </w:t>
      </w:r>
      <w:r w:rsidDel="00000000" w:rsidR="00000000" w:rsidRPr="00000000">
        <w:rPr>
          <w:i w:val="1"/>
          <w:iCs w:val="1"/>
          <w:rtl w:val="0"/>
        </w:rPr>
        <w:t xml:space="preserve">Cell Reports</w:t>
      </w:r>
      <w:r w:rsidDel="00000000" w:rsidR="00000000" w:rsidRPr="00000000">
        <w:rPr>
          <w:rtl w:val="0"/>
        </w:rPr>
        <w:t xml:space="preserve">, 44(1), 115127. (PMID 39764850)</w:t>
      </w:r>
    </w:p>
    <w:p w:rsidR="00000000" w:rsidDel="00000000" w:rsidP="00000000" w:rsidRDefault="00000000" w:rsidRPr="00000000" w14:paraId="00000295">
      <w:pPr>
        <w:numPr>
          <w:ilvl w:val="0"/>
          <w:numId w:val="9"/>
        </w:numPr>
        <w:ind w:left="720" w:hanging="360"/>
        <w:jc w:val="both"/>
        <w:rPr/>
      </w:pPr>
      <w:r w:rsidDel="00000000" w:rsidR="00000000" w:rsidRPr="00000000">
        <w:rPr>
          <w:rtl w:val="0"/>
        </w:rPr>
        <w:t xml:space="preserve">Borrego-Pinto, J., et al. (2016). Distinct mechanisms eliminate mother and daughter centrioles in meiosis of starfish oocytes. </w:t>
      </w:r>
      <w:r w:rsidDel="00000000" w:rsidR="00000000" w:rsidRPr="00000000">
        <w:rPr>
          <w:i w:val="1"/>
          <w:iCs w:val="1"/>
          <w:rtl w:val="0"/>
        </w:rPr>
        <w:t xml:space="preserve">Journal of Cell Biology</w:t>
      </w:r>
      <w:r w:rsidDel="00000000" w:rsidR="00000000" w:rsidRPr="00000000">
        <w:rPr>
          <w:rtl w:val="0"/>
        </w:rPr>
        <w:t xml:space="preserve">, 213(5), 533–543. (PMID 27002173)</w:t>
      </w:r>
    </w:p>
    <w:p w:rsidR="00000000" w:rsidDel="00000000" w:rsidP="00000000" w:rsidRDefault="00000000" w:rsidRPr="00000000" w14:paraId="00000296">
      <w:pPr>
        <w:numPr>
          <w:ilvl w:val="0"/>
          <w:numId w:val="9"/>
        </w:numPr>
        <w:ind w:left="720" w:hanging="360"/>
        <w:jc w:val="both"/>
        <w:rPr/>
      </w:pPr>
      <w:r w:rsidDel="00000000" w:rsidR="00000000" w:rsidRPr="00000000">
        <w:rPr>
          <w:rtl w:val="0"/>
        </w:rPr>
        <w:t xml:space="preserve">Chen, C., &amp; Yamashita, Y. M. (2021). Centrosome-centric view of asymmetric stem cell division. </w:t>
      </w:r>
      <w:r w:rsidDel="00000000" w:rsidR="00000000" w:rsidRPr="00000000">
        <w:rPr>
          <w:i w:val="1"/>
          <w:iCs w:val="1"/>
          <w:rtl w:val="0"/>
        </w:rPr>
        <w:t xml:space="preserve">Open Biology</w:t>
      </w:r>
      <w:r w:rsidDel="00000000" w:rsidR="00000000" w:rsidRPr="00000000">
        <w:rPr>
          <w:rtl w:val="0"/>
        </w:rPr>
        <w:t xml:space="preserve">, 11(2), 200334. (PMID 33435817)</w:t>
      </w:r>
    </w:p>
    <w:p w:rsidR="00000000" w:rsidDel="00000000" w:rsidP="00000000" w:rsidRDefault="00000000" w:rsidRPr="00000000" w14:paraId="00000297">
      <w:pPr>
        <w:numPr>
          <w:ilvl w:val="0"/>
          <w:numId w:val="9"/>
        </w:numPr>
        <w:ind w:left="720" w:hanging="360"/>
        <w:jc w:val="both"/>
        <w:rPr/>
      </w:pPr>
      <w:r w:rsidDel="00000000" w:rsidR="00000000" w:rsidRPr="00000000">
        <w:rPr>
          <w:rtl w:val="0"/>
        </w:rPr>
        <w:t xml:space="preserve">Gönczy, P. (2026). Critical constituents and assembly principles of centriole biogenesis in human cells. </w:t>
      </w:r>
      <w:r w:rsidDel="00000000" w:rsidR="00000000" w:rsidRPr="00000000">
        <w:rPr>
          <w:i w:val="1"/>
          <w:iCs w:val="1"/>
          <w:rtl w:val="0"/>
        </w:rPr>
        <w:t xml:space="preserve">Nature Reviews Molecular Cell Biology</w:t>
      </w:r>
      <w:r w:rsidDel="00000000" w:rsidR="00000000" w:rsidRPr="00000000">
        <w:rPr>
          <w:rtl w:val="0"/>
        </w:rPr>
        <w:t xml:space="preserve">, 27, 260–277. (PMID 41310006)</w:t>
      </w:r>
    </w:p>
    <w:p w:rsidR="00000000" w:rsidDel="00000000" w:rsidP="00000000" w:rsidRDefault="00000000" w:rsidRPr="00000000" w14:paraId="00000298">
      <w:pPr>
        <w:numPr>
          <w:ilvl w:val="0"/>
          <w:numId w:val="9"/>
        </w:numPr>
        <w:ind w:left="720" w:hanging="360"/>
        <w:jc w:val="both"/>
        <w:rPr/>
      </w:pPr>
      <w:r w:rsidDel="00000000" w:rsidR="00000000" w:rsidRPr="00000000">
        <w:rPr>
          <w:rtl w:val="0"/>
        </w:rPr>
        <w:t xml:space="preserve">Januschke, J., Llamazares, S., Reina, J., &amp; Gonzalez, C. (2011). Drosophila neuroblasts retain the daughter centrosome. </w:t>
      </w:r>
      <w:r w:rsidDel="00000000" w:rsidR="00000000" w:rsidRPr="00000000">
        <w:rPr>
          <w:i w:val="1"/>
          <w:iCs w:val="1"/>
          <w:rtl w:val="0"/>
        </w:rPr>
        <w:t xml:space="preserve">Nature Communications</w:t>
      </w:r>
      <w:r w:rsidDel="00000000" w:rsidR="00000000" w:rsidRPr="00000000">
        <w:rPr>
          <w:rtl w:val="0"/>
        </w:rPr>
        <w:t xml:space="preserve">, 2, 243. (PMID 21407209)</w:t>
      </w:r>
    </w:p>
    <w:p w:rsidR="00000000" w:rsidDel="00000000" w:rsidP="00000000" w:rsidRDefault="00000000" w:rsidRPr="00000000" w14:paraId="00000299">
      <w:pPr>
        <w:numPr>
          <w:ilvl w:val="0"/>
          <w:numId w:val="9"/>
        </w:numPr>
        <w:ind w:left="720" w:hanging="360"/>
        <w:jc w:val="both"/>
        <w:rPr/>
      </w:pPr>
      <w:r w:rsidDel="00000000" w:rsidR="00000000" w:rsidRPr="00000000">
        <w:rPr>
          <w:rtl w:val="0"/>
        </w:rPr>
        <w:t xml:space="preserve">Kalbfuss, N., &amp; Gönczy, P. (2023a). Towards understanding centriole elimination. </w:t>
      </w:r>
      <w:r w:rsidDel="00000000" w:rsidR="00000000" w:rsidRPr="00000000">
        <w:rPr>
          <w:i w:val="1"/>
          <w:iCs w:val="1"/>
          <w:rtl w:val="0"/>
        </w:rPr>
        <w:t xml:space="preserve">Open Biology</w:t>
      </w:r>
      <w:r w:rsidDel="00000000" w:rsidR="00000000" w:rsidRPr="00000000">
        <w:rPr>
          <w:rtl w:val="0"/>
        </w:rPr>
        <w:t xml:space="preserve">, 13, 230222. (PMID 37963546)</w:t>
      </w:r>
    </w:p>
    <w:p w:rsidR="00000000" w:rsidDel="00000000" w:rsidP="00000000" w:rsidRDefault="00000000" w:rsidRPr="00000000" w14:paraId="0000029A">
      <w:pPr>
        <w:numPr>
          <w:ilvl w:val="0"/>
          <w:numId w:val="9"/>
        </w:numPr>
        <w:ind w:left="720" w:hanging="360"/>
        <w:jc w:val="both"/>
        <w:rPr/>
      </w:pPr>
      <w:r w:rsidDel="00000000" w:rsidR="00000000" w:rsidRPr="00000000">
        <w:rPr>
          <w:rtl w:val="0"/>
        </w:rPr>
        <w:t xml:space="preserve">Kalbfuss, N., &amp; Gönczy, P. (2023b). Extensive programmed centriole elimination unveiled in C. elegans embryos. </w:t>
      </w:r>
      <w:r w:rsidDel="00000000" w:rsidR="00000000" w:rsidRPr="00000000">
        <w:rPr>
          <w:i w:val="1"/>
          <w:iCs w:val="1"/>
          <w:rtl w:val="0"/>
        </w:rPr>
        <w:t xml:space="preserve">Science Advances</w:t>
      </w:r>
      <w:r w:rsidDel="00000000" w:rsidR="00000000" w:rsidRPr="00000000">
        <w:rPr>
          <w:rtl w:val="0"/>
        </w:rPr>
        <w:t xml:space="preserve">, 9(33), eadg8682. (PMID 37256957)</w:t>
      </w:r>
    </w:p>
    <w:p w:rsidR="00000000" w:rsidDel="00000000" w:rsidP="00000000" w:rsidRDefault="00000000" w:rsidRPr="00000000" w14:paraId="0000029B">
      <w:pPr>
        <w:numPr>
          <w:ilvl w:val="0"/>
          <w:numId w:val="9"/>
        </w:numPr>
        <w:ind w:left="720" w:hanging="360"/>
        <w:jc w:val="both"/>
        <w:rPr/>
      </w:pPr>
      <w:r w:rsidDel="00000000" w:rsidR="00000000" w:rsidRPr="00000000">
        <w:rPr>
          <w:rtl w:val="0"/>
        </w:rPr>
        <w:t xml:space="preserve">Khodjakov, A., Rieder, C. L., Sluder, G., Cassels, G., Sibon, O., &amp; Wang, C.-L. (2002). De novo formation of centrosomes in vertebrate cells arrested during S phase. </w:t>
      </w:r>
      <w:r w:rsidDel="00000000" w:rsidR="00000000" w:rsidRPr="00000000">
        <w:rPr>
          <w:i w:val="1"/>
          <w:iCs w:val="1"/>
          <w:rtl w:val="0"/>
        </w:rPr>
        <w:t xml:space="preserve">Journal of Cell Biology</w:t>
      </w:r>
      <w:r w:rsidDel="00000000" w:rsidR="00000000" w:rsidRPr="00000000">
        <w:rPr>
          <w:rtl w:val="0"/>
        </w:rPr>
        <w:t xml:space="preserve">, 158(7), 1171–1181. (PMID 12356862)</w:t>
      </w:r>
    </w:p>
    <w:p w:rsidR="00000000" w:rsidDel="00000000" w:rsidP="00000000" w:rsidRDefault="00000000" w:rsidRPr="00000000" w14:paraId="0000029C">
      <w:pPr>
        <w:numPr>
          <w:ilvl w:val="0"/>
          <w:numId w:val="9"/>
        </w:numPr>
        <w:ind w:left="720" w:hanging="360"/>
        <w:jc w:val="both"/>
        <w:rPr/>
      </w:pPr>
      <w:r w:rsidDel="00000000" w:rsidR="00000000" w:rsidRPr="00000000">
        <w:rPr>
          <w:rtl w:val="0"/>
        </w:rPr>
        <w:t xml:space="preserve">Köhrer, S., et al. (2023). High-throughput electron tomography identifies centriole over-elongation as an early event in plasma cell disorders. </w:t>
      </w:r>
      <w:r w:rsidDel="00000000" w:rsidR="00000000" w:rsidRPr="00000000">
        <w:rPr>
          <w:i w:val="1"/>
          <w:iCs w:val="1"/>
          <w:rtl w:val="0"/>
        </w:rPr>
        <w:t xml:space="preserve">Leukemia</w:t>
      </w:r>
      <w:r w:rsidDel="00000000" w:rsidR="00000000" w:rsidRPr="00000000">
        <w:rPr>
          <w:rtl w:val="0"/>
        </w:rPr>
        <w:t xml:space="preserve">, 37. (PMID 37821581) — </w:t>
      </w:r>
      <w:r w:rsidDel="00000000" w:rsidR="00000000" w:rsidRPr="00000000">
        <w:rPr>
          <w:b w:val="1"/>
          <w:bCs w:val="1"/>
          <w:rtl w:val="0"/>
        </w:rPr>
        <w:t xml:space="preserve">disease-associated geometry change; physiological-aging relevance undetermined</w:t>
      </w:r>
      <w:r w:rsidDel="00000000" w:rsidR="00000000" w:rsidRPr="00000000">
        <w:rPr>
          <w:rtl w:val="0"/>
        </w:rPr>
      </w:r>
    </w:p>
    <w:p w:rsidR="00000000" w:rsidDel="00000000" w:rsidP="00000000" w:rsidRDefault="00000000" w:rsidRPr="00000000" w14:paraId="0000029D">
      <w:pPr>
        <w:numPr>
          <w:ilvl w:val="0"/>
          <w:numId w:val="9"/>
        </w:numPr>
        <w:ind w:left="720" w:hanging="360"/>
        <w:jc w:val="both"/>
        <w:rPr/>
      </w:pPr>
      <w:r w:rsidDel="00000000" w:rsidR="00000000" w:rsidRPr="00000000">
        <w:rPr>
          <w:rtl w:val="0"/>
        </w:rPr>
        <w:t xml:space="preserve">López-Otín, C., Blasco, M. A., Partridge, L., Serrano, M., &amp; Kroemer, G. (2013). The hallmarks of aging. </w:t>
      </w:r>
      <w:r w:rsidDel="00000000" w:rsidR="00000000" w:rsidRPr="00000000">
        <w:rPr>
          <w:i w:val="1"/>
          <w:iCs w:val="1"/>
          <w:rtl w:val="0"/>
        </w:rPr>
        <w:t xml:space="preserve">Cell</w:t>
      </w:r>
      <w:r w:rsidDel="00000000" w:rsidR="00000000" w:rsidRPr="00000000">
        <w:rPr>
          <w:rtl w:val="0"/>
        </w:rPr>
        <w:t xml:space="preserve">, 153(6), 1194–1217. (PMID 23746838)</w:t>
      </w:r>
    </w:p>
    <w:p w:rsidR="00000000" w:rsidDel="00000000" w:rsidP="00000000" w:rsidRDefault="00000000" w:rsidRPr="00000000" w14:paraId="0000029E">
      <w:pPr>
        <w:numPr>
          <w:ilvl w:val="0"/>
          <w:numId w:val="9"/>
        </w:numPr>
        <w:ind w:left="720" w:hanging="360"/>
        <w:jc w:val="both"/>
        <w:rPr/>
      </w:pPr>
      <w:r w:rsidDel="00000000" w:rsidR="00000000" w:rsidRPr="00000000">
        <w:rPr>
          <w:rtl w:val="0"/>
        </w:rPr>
        <w:t xml:space="preserve">López-Otín, C., Blasco, M. A., Partridge, L., Serrano, M., &amp; Kroemer, G. (2023). Hallmarks of aging: An expanding universe. </w:t>
      </w:r>
      <w:r w:rsidDel="00000000" w:rsidR="00000000" w:rsidRPr="00000000">
        <w:rPr>
          <w:i w:val="1"/>
          <w:iCs w:val="1"/>
          <w:rtl w:val="0"/>
        </w:rPr>
        <w:t xml:space="preserve">Cell</w:t>
      </w:r>
      <w:r w:rsidDel="00000000" w:rsidR="00000000" w:rsidRPr="00000000">
        <w:rPr>
          <w:rtl w:val="0"/>
        </w:rPr>
        <w:t xml:space="preserve">, 186(2), 243–278. (PMID 36599349)</w:t>
      </w:r>
    </w:p>
    <w:p w:rsidR="00000000" w:rsidDel="00000000" w:rsidP="00000000" w:rsidRDefault="00000000" w:rsidRPr="00000000" w14:paraId="0000029F">
      <w:pPr>
        <w:numPr>
          <w:ilvl w:val="0"/>
          <w:numId w:val="9"/>
        </w:numPr>
        <w:ind w:left="720" w:hanging="360"/>
        <w:jc w:val="both"/>
        <w:rPr/>
      </w:pPr>
      <w:r w:rsidDel="00000000" w:rsidR="00000000" w:rsidRPr="00000000">
        <w:rPr>
          <w:rtl w:val="0"/>
        </w:rPr>
        <w:t xml:space="preserve">Lu, Y., et al. (2020). Reprogramming to recover youthful epigenetic information and restore vision. </w:t>
      </w:r>
      <w:r w:rsidDel="00000000" w:rsidR="00000000" w:rsidRPr="00000000">
        <w:rPr>
          <w:i w:val="1"/>
          <w:iCs w:val="1"/>
          <w:rtl w:val="0"/>
        </w:rPr>
        <w:t xml:space="preserve">Nature</w:t>
      </w:r>
      <w:r w:rsidDel="00000000" w:rsidR="00000000" w:rsidRPr="00000000">
        <w:rPr>
          <w:rtl w:val="0"/>
        </w:rPr>
        <w:t xml:space="preserve">, 588, 124–129. (PMID 33268865)</w:t>
      </w:r>
    </w:p>
    <w:p w:rsidR="00000000" w:rsidDel="00000000" w:rsidP="00000000" w:rsidRDefault="00000000" w:rsidRPr="00000000" w14:paraId="000002A0">
      <w:pPr>
        <w:numPr>
          <w:ilvl w:val="0"/>
          <w:numId w:val="9"/>
        </w:numPr>
        <w:ind w:left="720" w:hanging="360"/>
        <w:jc w:val="both"/>
        <w:rPr/>
      </w:pPr>
      <w:r w:rsidDel="00000000" w:rsidR="00000000" w:rsidRPr="00000000">
        <w:rPr>
          <w:rtl w:val="0"/>
        </w:rPr>
        <w:t xml:space="preserve">Ocampo, A., et al. (2016). In vivo amelioration of age-associated hallmarks by partial reprogramming. </w:t>
      </w:r>
      <w:r w:rsidDel="00000000" w:rsidR="00000000" w:rsidRPr="00000000">
        <w:rPr>
          <w:i w:val="1"/>
          <w:iCs w:val="1"/>
          <w:rtl w:val="0"/>
        </w:rPr>
        <w:t xml:space="preserve">Cell</w:t>
      </w:r>
      <w:r w:rsidDel="00000000" w:rsidR="00000000" w:rsidRPr="00000000">
        <w:rPr>
          <w:rtl w:val="0"/>
        </w:rPr>
        <w:t xml:space="preserve">, 167(7), 1719–1733. (PMID 27984723)</w:t>
      </w:r>
    </w:p>
    <w:p w:rsidR="00000000" w:rsidDel="00000000" w:rsidP="00000000" w:rsidRDefault="00000000" w:rsidRPr="00000000" w14:paraId="000002A1">
      <w:pPr>
        <w:numPr>
          <w:ilvl w:val="0"/>
          <w:numId w:val="9"/>
        </w:numPr>
        <w:ind w:left="720" w:hanging="360"/>
        <w:jc w:val="both"/>
        <w:rPr/>
      </w:pPr>
      <w:r w:rsidDel="00000000" w:rsidR="00000000" w:rsidRPr="00000000">
        <w:rPr>
          <w:rtl w:val="0"/>
        </w:rPr>
        <w:t xml:space="preserve">Pimenta-Marques, A., et al. (2016). A mechanism for the elimination of the female gamete centrosome in Drosophila meiosis. </w:t>
      </w:r>
      <w:r w:rsidDel="00000000" w:rsidR="00000000" w:rsidRPr="00000000">
        <w:rPr>
          <w:i w:val="1"/>
          <w:iCs w:val="1"/>
          <w:rtl w:val="0"/>
        </w:rPr>
        <w:t xml:space="preserve">Science</w:t>
      </w:r>
      <w:r w:rsidDel="00000000" w:rsidR="00000000" w:rsidRPr="00000000">
        <w:rPr>
          <w:rtl w:val="0"/>
        </w:rPr>
        <w:t xml:space="preserve">, 353(6294), aaf4866. (PMID 27229142)</w:t>
      </w:r>
    </w:p>
    <w:p w:rsidR="00000000" w:rsidDel="00000000" w:rsidP="00000000" w:rsidRDefault="00000000" w:rsidRPr="00000000" w14:paraId="000002A2">
      <w:pPr>
        <w:numPr>
          <w:ilvl w:val="0"/>
          <w:numId w:val="9"/>
        </w:numPr>
        <w:ind w:left="720" w:hanging="360"/>
        <w:jc w:val="both"/>
        <w:rPr/>
      </w:pPr>
      <w:r w:rsidDel="00000000" w:rsidR="00000000" w:rsidRPr="00000000">
        <w:rPr>
          <w:rtl w:val="0"/>
        </w:rPr>
        <w:t xml:space="preserve">Renzova, T., et al. (2018). Inactivation of the PLK4–STIL module prevents self-renewal and triggers p53-dependent differentiation in human embryonic stem cells. </w:t>
      </w:r>
      <w:r w:rsidDel="00000000" w:rsidR="00000000" w:rsidRPr="00000000">
        <w:rPr>
          <w:i w:val="1"/>
          <w:iCs w:val="1"/>
          <w:rtl w:val="0"/>
        </w:rPr>
        <w:t xml:space="preserve">Stem Cell Reports</w:t>
      </w:r>
      <w:r w:rsidDel="00000000" w:rsidR="00000000" w:rsidRPr="00000000">
        <w:rPr>
          <w:rtl w:val="0"/>
        </w:rPr>
        <w:t xml:space="preserve">, 11(4), 959–972. (PMID 30197118)</w:t>
      </w:r>
    </w:p>
    <w:p w:rsidR="00000000" w:rsidDel="00000000" w:rsidP="00000000" w:rsidRDefault="00000000" w:rsidRPr="00000000" w14:paraId="000002A3">
      <w:pPr>
        <w:numPr>
          <w:ilvl w:val="0"/>
          <w:numId w:val="9"/>
        </w:numPr>
        <w:ind w:left="720" w:hanging="360"/>
        <w:jc w:val="both"/>
        <w:rPr/>
      </w:pPr>
      <w:r w:rsidDel="00000000" w:rsidR="00000000" w:rsidRPr="00000000">
        <w:rPr>
          <w:rtl w:val="0"/>
        </w:rPr>
        <w:t xml:space="preserve">Robichaud, J. H., Zhang, Y., Chen, C., He, K., et al. (2024). Transiently formed nucleus-to-cilium microtubule arrays mediate senescence initiation in a KIFC3-dependent manner. </w:t>
      </w:r>
      <w:r w:rsidDel="00000000" w:rsidR="00000000" w:rsidRPr="00000000">
        <w:rPr>
          <w:i w:val="1"/>
          <w:iCs w:val="1"/>
          <w:rtl w:val="0"/>
        </w:rPr>
        <w:t xml:space="preserve">Nature Communications</w:t>
      </w:r>
      <w:r w:rsidDel="00000000" w:rsidR="00000000" w:rsidRPr="00000000">
        <w:rPr>
          <w:rtl w:val="0"/>
        </w:rPr>
        <w:t xml:space="preserve">, 15, 7977. https://doi.org/10.1038/s41467-024-52363-w (PMID 39266565) — </w:t>
      </w:r>
      <w:r w:rsidDel="00000000" w:rsidR="00000000" w:rsidRPr="00000000">
        <w:rPr>
          <w:b w:val="1"/>
          <w:bCs w:val="1"/>
          <w:rtl w:val="0"/>
        </w:rPr>
        <w:t xml:space="preserve">article number corrected to 15:7977 in v7.8</w:t>
      </w:r>
      <w:r w:rsidDel="00000000" w:rsidR="00000000" w:rsidRPr="00000000">
        <w:rPr>
          <w:rtl w:val="0"/>
        </w:rPr>
      </w:r>
    </w:p>
    <w:p w:rsidR="00000000" w:rsidDel="00000000" w:rsidP="00000000" w:rsidRDefault="00000000" w:rsidRPr="00000000" w14:paraId="000002A4">
      <w:pPr>
        <w:numPr>
          <w:ilvl w:val="0"/>
          <w:numId w:val="9"/>
        </w:numPr>
        <w:ind w:left="720" w:hanging="360"/>
        <w:jc w:val="both"/>
        <w:rPr/>
      </w:pPr>
      <w:r w:rsidDel="00000000" w:rsidR="00000000" w:rsidRPr="00000000">
        <w:rPr>
          <w:rtl w:val="0"/>
        </w:rPr>
        <w:t xml:space="preserve">Sahu, S. K., et al. (2024). Targeted partial reprogramming of age-associated cell states improves markers of health. (PMID 39259812)</w:t>
      </w:r>
    </w:p>
    <w:p w:rsidR="00000000" w:rsidDel="00000000" w:rsidP="00000000" w:rsidRDefault="00000000" w:rsidRPr="00000000" w14:paraId="000002A5">
      <w:pPr>
        <w:numPr>
          <w:ilvl w:val="0"/>
          <w:numId w:val="9"/>
        </w:numPr>
        <w:ind w:left="720" w:hanging="360"/>
        <w:jc w:val="both"/>
        <w:rPr/>
      </w:pPr>
      <w:r w:rsidDel="00000000" w:rsidR="00000000" w:rsidRPr="00000000">
        <w:rPr>
          <w:rtl w:val="0"/>
        </w:rPr>
        <w:t xml:space="preserve">Schatten, H., Sun, Q.-Y., &amp; Prather, R. (2005). Centrosome reduction during gametogenesis and its significance. </w:t>
      </w:r>
      <w:r w:rsidDel="00000000" w:rsidR="00000000" w:rsidRPr="00000000">
        <w:rPr>
          <w:i w:val="1"/>
          <w:iCs w:val="1"/>
          <w:rtl w:val="0"/>
        </w:rPr>
        <w:t xml:space="preserve">Biology of Reproduction</w:t>
      </w:r>
      <w:r w:rsidDel="00000000" w:rsidR="00000000" w:rsidRPr="00000000">
        <w:rPr>
          <w:rtl w:val="0"/>
        </w:rPr>
        <w:t xml:space="preserve">, 72(1), 2–13. (PMID 15385423)</w:t>
      </w:r>
    </w:p>
    <w:p w:rsidR="00000000" w:rsidDel="00000000" w:rsidP="00000000" w:rsidRDefault="00000000" w:rsidRPr="00000000" w14:paraId="000002A6">
      <w:pPr>
        <w:numPr>
          <w:ilvl w:val="0"/>
          <w:numId w:val="9"/>
        </w:numPr>
        <w:ind w:left="720" w:hanging="360"/>
        <w:jc w:val="both"/>
        <w:rPr/>
      </w:pPr>
      <w:r w:rsidDel="00000000" w:rsidR="00000000" w:rsidRPr="00000000">
        <w:rPr>
          <w:rtl w:val="0"/>
        </w:rPr>
        <w:t xml:space="preserve">Shin, B., Kim, M. S., Lee, Y., et al. (2021). Generation and fates of supernumerary centrioles in dividing cells. </w:t>
      </w:r>
      <w:r w:rsidDel="00000000" w:rsidR="00000000" w:rsidRPr="00000000">
        <w:rPr>
          <w:i w:val="1"/>
          <w:iCs w:val="1"/>
          <w:rtl w:val="0"/>
        </w:rPr>
        <w:t xml:space="preserve">Molecules and Cells</w:t>
      </w:r>
      <w:r w:rsidDel="00000000" w:rsidR="00000000" w:rsidRPr="00000000">
        <w:rPr>
          <w:rtl w:val="0"/>
        </w:rPr>
        <w:t xml:space="preserve">, 44(11), 805–816. (PMID 34711687)</w:t>
      </w:r>
    </w:p>
    <w:p w:rsidR="00000000" w:rsidDel="00000000" w:rsidP="00000000" w:rsidRDefault="00000000" w:rsidRPr="00000000" w14:paraId="000002A7">
      <w:pPr>
        <w:numPr>
          <w:ilvl w:val="0"/>
          <w:numId w:val="9"/>
        </w:numPr>
        <w:ind w:left="720" w:hanging="360"/>
        <w:jc w:val="both"/>
        <w:rPr/>
      </w:pPr>
      <w:r w:rsidDel="00000000" w:rsidR="00000000" w:rsidRPr="00000000">
        <w:rPr>
          <w:rtl w:val="0"/>
        </w:rPr>
        <w:t xml:space="preserve">Simerly, C., et al. (2018). Separation and loss of centrioles from primordial germ cells to mature oocytes in the mouse. </w:t>
      </w:r>
      <w:r w:rsidDel="00000000" w:rsidR="00000000" w:rsidRPr="00000000">
        <w:rPr>
          <w:i w:val="1"/>
          <w:iCs w:val="1"/>
          <w:rtl w:val="0"/>
        </w:rPr>
        <w:t xml:space="preserve">Scientific Reports</w:t>
      </w:r>
      <w:r w:rsidDel="00000000" w:rsidR="00000000" w:rsidRPr="00000000">
        <w:rPr>
          <w:rtl w:val="0"/>
        </w:rPr>
        <w:t xml:space="preserve">, 8, 12791. (PMID 30143724)</w:t>
      </w:r>
    </w:p>
    <w:p w:rsidR="00000000" w:rsidDel="00000000" w:rsidP="00000000" w:rsidRDefault="00000000" w:rsidRPr="00000000" w14:paraId="000002A8">
      <w:pPr>
        <w:numPr>
          <w:ilvl w:val="0"/>
          <w:numId w:val="9"/>
        </w:numPr>
        <w:ind w:left="720" w:hanging="360"/>
        <w:jc w:val="both"/>
        <w:rPr/>
      </w:pPr>
      <w:r w:rsidDel="00000000" w:rsidR="00000000" w:rsidRPr="00000000">
        <w:rPr>
          <w:rtl w:val="0"/>
        </w:rPr>
        <w:t xml:space="preserve">Takumi, K., &amp; Kitagawa, D. (2022). Experimental and natural induction of de novo centriole formation. </w:t>
      </w:r>
      <w:r w:rsidDel="00000000" w:rsidR="00000000" w:rsidRPr="00000000">
        <w:rPr>
          <w:i w:val="1"/>
          <w:iCs w:val="1"/>
          <w:rtl w:val="0"/>
        </w:rPr>
        <w:t xml:space="preserve">Frontiers in Cell and Developmental Biology</w:t>
      </w:r>
      <w:r w:rsidDel="00000000" w:rsidR="00000000" w:rsidRPr="00000000">
        <w:rPr>
          <w:rtl w:val="0"/>
        </w:rPr>
        <w:t xml:space="preserve">, 10, 861864. (PMID 35445021)</w:t>
      </w:r>
    </w:p>
    <w:p w:rsidR="00000000" w:rsidDel="00000000" w:rsidP="00000000" w:rsidRDefault="00000000" w:rsidRPr="00000000" w14:paraId="000002A9">
      <w:pPr>
        <w:numPr>
          <w:ilvl w:val="0"/>
          <w:numId w:val="9"/>
        </w:numPr>
        <w:ind w:left="720" w:hanging="360"/>
        <w:jc w:val="both"/>
        <w:rPr/>
      </w:pPr>
      <w:r w:rsidDel="00000000" w:rsidR="00000000" w:rsidRPr="00000000">
        <w:rPr>
          <w:rtl w:val="0"/>
        </w:rPr>
        <w:t xml:space="preserve">Thomas, C., &amp; Giet, R. (2022). Live imaging of Drosophila melanogaster neural stem cells with photo-ablated centrosomes. </w:t>
      </w:r>
      <w:r w:rsidDel="00000000" w:rsidR="00000000" w:rsidRPr="00000000">
        <w:rPr>
          <w:i w:val="1"/>
          <w:iCs w:val="1"/>
          <w:rtl w:val="0"/>
        </w:rPr>
        <w:t xml:space="preserve">STAR Protocols</w:t>
      </w:r>
      <w:r w:rsidDel="00000000" w:rsidR="00000000" w:rsidRPr="00000000">
        <w:rPr>
          <w:rtl w:val="0"/>
        </w:rPr>
        <w:t xml:space="preserve">, 3(3), 101493. (PMID 35776653)</w:t>
      </w:r>
    </w:p>
    <w:p w:rsidR="00000000" w:rsidDel="00000000" w:rsidP="00000000" w:rsidRDefault="00000000" w:rsidRPr="00000000" w14:paraId="000002AA">
      <w:pPr>
        <w:numPr>
          <w:ilvl w:val="0"/>
          <w:numId w:val="9"/>
        </w:numPr>
        <w:ind w:left="720" w:hanging="360"/>
        <w:jc w:val="both"/>
        <w:rPr/>
      </w:pPr>
      <w:r w:rsidDel="00000000" w:rsidR="00000000" w:rsidRPr="00000000">
        <w:rPr>
          <w:rtl w:val="0"/>
        </w:rPr>
        <w:t xml:space="preserve">Tkemaladze, J. (2023). Reduction, proliferation, and differentiation defects of stem cells over time: A consequence of selective accumulation of old centrioles in the stem cells? </w:t>
      </w:r>
      <w:r w:rsidDel="00000000" w:rsidR="00000000" w:rsidRPr="00000000">
        <w:rPr>
          <w:i w:val="1"/>
          <w:iCs w:val="1"/>
          <w:rtl w:val="0"/>
        </w:rPr>
        <w:t xml:space="preserve">Molecular Biology Reports</w:t>
      </w:r>
      <w:r w:rsidDel="00000000" w:rsidR="00000000" w:rsidRPr="00000000">
        <w:rPr>
          <w:rtl w:val="0"/>
        </w:rPr>
        <w:t xml:space="preserve">, 50(3), 2751–2761. https://doi.org/10.1007/s11033-022-08203-5 (PMID 36583780) — </w:t>
      </w:r>
      <w:r w:rsidDel="00000000" w:rsidR="00000000" w:rsidRPr="00000000">
        <w:rPr>
          <w:b w:val="1"/>
          <w:bCs w:val="1"/>
          <w:rtl w:val="0"/>
        </w:rPr>
        <w:t xml:space="preserve">exact title per PubMed; theoretical basis of the program [H]</w:t>
      </w:r>
      <w:r w:rsidDel="00000000" w:rsidR="00000000" w:rsidRPr="00000000">
        <w:rPr>
          <w:rtl w:val="0"/>
        </w:rPr>
      </w:r>
    </w:p>
    <w:p w:rsidR="00000000" w:rsidDel="00000000" w:rsidP="00000000" w:rsidRDefault="00000000" w:rsidRPr="00000000" w14:paraId="000002AB">
      <w:pPr>
        <w:numPr>
          <w:ilvl w:val="0"/>
          <w:numId w:val="9"/>
        </w:numPr>
        <w:ind w:left="720" w:hanging="360"/>
        <w:jc w:val="both"/>
        <w:rPr/>
      </w:pPr>
      <w:r w:rsidDel="00000000" w:rsidR="00000000" w:rsidRPr="00000000">
        <w:rPr>
          <w:rtl w:val="0"/>
        </w:rPr>
        <w:t xml:space="preserve">Wang, X., Tsai, J.-W., Imai, J. H., Lian, W.-N., Vallee, R. B., &amp; Shi, S.-H. (2009). Asymmetric centrosome inheritance maintains neural progenitors in the neocortex. </w:t>
      </w:r>
      <w:r w:rsidDel="00000000" w:rsidR="00000000" w:rsidRPr="00000000">
        <w:rPr>
          <w:i w:val="1"/>
          <w:iCs w:val="1"/>
          <w:rtl w:val="0"/>
        </w:rPr>
        <w:t xml:space="preserve">Nature</w:t>
      </w:r>
      <w:r w:rsidDel="00000000" w:rsidR="00000000" w:rsidRPr="00000000">
        <w:rPr>
          <w:rtl w:val="0"/>
        </w:rPr>
        <w:t xml:space="preserve">, 461(7266), 947–955. (PMID 19829375)</w:t>
      </w:r>
    </w:p>
    <w:p w:rsidR="00000000" w:rsidDel="00000000" w:rsidP="00000000" w:rsidRDefault="00000000" w:rsidRPr="00000000" w14:paraId="000002AC">
      <w:pPr>
        <w:numPr>
          <w:ilvl w:val="0"/>
          <w:numId w:val="9"/>
        </w:numPr>
        <w:ind w:left="720" w:hanging="360"/>
        <w:jc w:val="both"/>
        <w:rPr/>
      </w:pPr>
      <w:r w:rsidDel="00000000" w:rsidR="00000000" w:rsidRPr="00000000">
        <w:rPr>
          <w:rtl w:val="0"/>
        </w:rPr>
        <w:t xml:space="preserve">Wong, Y. L., et al. (2015). Reversible centriole depletion with an inhibitor of Polo-like kinase 4. </w:t>
      </w:r>
      <w:r w:rsidDel="00000000" w:rsidR="00000000" w:rsidRPr="00000000">
        <w:rPr>
          <w:i w:val="1"/>
          <w:iCs w:val="1"/>
          <w:rtl w:val="0"/>
        </w:rPr>
        <w:t xml:space="preserve">Science</w:t>
      </w:r>
      <w:r w:rsidDel="00000000" w:rsidR="00000000" w:rsidRPr="00000000">
        <w:rPr>
          <w:rtl w:val="0"/>
        </w:rPr>
        <w:t xml:space="preserve">, 348(6239), 1155–1160. (PMID 25931445)</w:t>
      </w:r>
    </w:p>
    <w:p w:rsidR="00000000" w:rsidDel="00000000" w:rsidP="00000000" w:rsidRDefault="00000000" w:rsidRPr="00000000" w14:paraId="000002AD">
      <w:pPr>
        <w:numPr>
          <w:ilvl w:val="0"/>
          <w:numId w:val="9"/>
        </w:numPr>
        <w:ind w:left="720" w:hanging="360"/>
        <w:jc w:val="both"/>
        <w:rPr/>
      </w:pPr>
      <w:r w:rsidDel="00000000" w:rsidR="00000000" w:rsidRPr="00000000">
        <w:rPr>
          <w:rtl w:val="0"/>
        </w:rPr>
        <w:t xml:space="preserve">Yamashita, Y. M., Mahowald, A. P., Perlin, J. R., &amp; Fuller, M. T. (2007). Asymmetric inheritance of mother versus daughter centrosome in stem cell division. </w:t>
      </w:r>
      <w:r w:rsidDel="00000000" w:rsidR="00000000" w:rsidRPr="00000000">
        <w:rPr>
          <w:i w:val="1"/>
          <w:iCs w:val="1"/>
          <w:rtl w:val="0"/>
        </w:rPr>
        <w:t xml:space="preserve">Science</w:t>
      </w:r>
      <w:r w:rsidDel="00000000" w:rsidR="00000000" w:rsidRPr="00000000">
        <w:rPr>
          <w:rtl w:val="0"/>
        </w:rPr>
        <w:t xml:space="preserve">, 315(5811), 518–521. (PMID 17255513)</w:t>
      </w:r>
    </w:p>
    <w:p w:rsidR="00000000" w:rsidDel="00000000" w:rsidP="00000000" w:rsidRDefault="00000000" w:rsidRPr="00000000" w14:paraId="000002AE">
      <w:pPr>
        <w:numPr>
          <w:ilvl w:val="0"/>
          <w:numId w:val="9"/>
        </w:numPr>
        <w:ind w:left="720" w:hanging="360"/>
        <w:jc w:val="both"/>
        <w:rPr/>
      </w:pPr>
      <w:r w:rsidDel="00000000" w:rsidR="00000000" w:rsidRPr="00000000">
        <w:rPr>
          <w:rtl w:val="0"/>
        </w:rPr>
        <w:t xml:space="preserve">Zhang, C., et al. (2026). Hepatocyte-specific partial cellular reprogramming via selective OSK mRNA lipid nanoparticles. (PMID 41443352)</w:t>
      </w:r>
    </w:p>
    <w:p w:rsidR="00000000" w:rsidDel="00000000" w:rsidP="00000000" w:rsidRDefault="00000000" w:rsidRPr="00000000" w14:paraId="000002AF">
      <w:pPr>
        <w:numPr>
          <w:ilvl w:val="0"/>
          <w:numId w:val="9"/>
        </w:numPr>
        <w:ind w:left="720" w:hanging="360"/>
        <w:jc w:val="both"/>
        <w:rPr/>
      </w:pPr>
      <w:r w:rsidDel="00000000" w:rsidR="00000000" w:rsidRPr="00000000">
        <w:rPr>
          <w:rtl w:val="0"/>
        </w:rPr>
        <w:t xml:space="preserve">Zhao, X., et al. (2025). PCM1 coordinates centrosome asymmetry with polarized endosome dynamics to regulate daughter cell fate. </w:t>
      </w:r>
      <w:r w:rsidDel="00000000" w:rsidR="00000000" w:rsidRPr="00000000">
        <w:rPr>
          <w:i w:val="1"/>
          <w:iCs w:val="1"/>
          <w:rtl w:val="0"/>
        </w:rPr>
        <w:t xml:space="preserve">Nature Communications</w:t>
      </w:r>
      <w:r w:rsidDel="00000000" w:rsidR="00000000" w:rsidRPr="00000000">
        <w:rPr>
          <w:rtl w:val="0"/>
        </w:rPr>
        <w:t xml:space="preserve">, 16, 10728. (PMID 41315244)</w:t>
      </w:r>
    </w:p>
    <w:p w:rsidR="00000000" w:rsidDel="00000000" w:rsidP="00000000" w:rsidRDefault="00000000" w:rsidRPr="00000000" w14:paraId="000002B0">
      <w:pPr>
        <w:numPr>
          <w:ilvl w:val="0"/>
          <w:numId w:val="9"/>
        </w:numPr>
        <w:ind w:left="720" w:hanging="360"/>
        <w:jc w:val="both"/>
        <w:rPr/>
      </w:pPr>
      <w:r w:rsidDel="00000000" w:rsidR="00000000" w:rsidRPr="00000000">
        <w:rPr>
          <w:rtl w:val="0"/>
        </w:rPr>
        <w:t xml:space="preserve">Zielke, L. G., &amp; Ryan, T. J. (2026). Rescuing specific memories by rejuvenating engram cells. (PMID 41856040)</w:t>
      </w:r>
    </w:p>
    <w:p w:rsidR="00000000" w:rsidDel="00000000" w:rsidP="00000000" w:rsidRDefault="00000000" w:rsidRPr="00000000" w14:paraId="000002B1">
      <w:pPr>
        <w:numPr>
          <w:ilvl w:val="0"/>
          <w:numId w:val="9"/>
        </w:numPr>
        <w:ind w:left="720" w:hanging="360"/>
        <w:jc w:val="both"/>
        <w:rPr/>
      </w:pPr>
      <w:r w:rsidDel="00000000" w:rsidR="00000000" w:rsidRPr="00000000">
        <w:rPr>
          <w:rtl w:val="0"/>
        </w:rPr>
        <w:t xml:space="preserve">La Terra, S., English, C. N., Hergert, P., et al. (2005). The de novo centriole assembly pathway in HeLa cells: Cell cycle progression and centriole assembly/maturation. </w:t>
      </w:r>
      <w:r w:rsidDel="00000000" w:rsidR="00000000" w:rsidRPr="00000000">
        <w:rPr>
          <w:i w:val="1"/>
          <w:iCs w:val="1"/>
          <w:rtl w:val="0"/>
        </w:rPr>
        <w:t xml:space="preserve">Journal of Cell Biology</w:t>
      </w:r>
      <w:r w:rsidDel="00000000" w:rsidR="00000000" w:rsidRPr="00000000">
        <w:rPr>
          <w:rtl w:val="0"/>
        </w:rPr>
        <w:t xml:space="preserve">, 168(5), 713–722. (PMID 15738265)</w:t>
      </w:r>
    </w:p>
    <w:p w:rsidR="00000000" w:rsidDel="00000000" w:rsidP="00000000" w:rsidRDefault="00000000" w:rsidRPr="00000000" w14:paraId="000002B2">
      <w:pPr>
        <w:numPr>
          <w:ilvl w:val="0"/>
          <w:numId w:val="9"/>
        </w:numPr>
        <w:ind w:left="720" w:hanging="360"/>
        <w:jc w:val="both"/>
        <w:rPr/>
      </w:pPr>
      <w:r w:rsidDel="00000000" w:rsidR="00000000" w:rsidRPr="00000000">
        <w:rPr>
          <w:rtl w:val="0"/>
        </w:rPr>
        <w:t xml:space="preserve">Uetake, Y., Loncarek, J., Nordberg, J. J., et al. (2007). Cell cycle progression and de novo centriole assembly after centrosomal removal in untransformed human cells. </w:t>
      </w:r>
      <w:r w:rsidDel="00000000" w:rsidR="00000000" w:rsidRPr="00000000">
        <w:rPr>
          <w:i w:val="1"/>
          <w:iCs w:val="1"/>
          <w:rtl w:val="0"/>
        </w:rPr>
        <w:t xml:space="preserve">Journal of Cell Biology</w:t>
      </w:r>
      <w:r w:rsidDel="00000000" w:rsidR="00000000" w:rsidRPr="00000000">
        <w:rPr>
          <w:rtl w:val="0"/>
        </w:rPr>
        <w:t xml:space="preserve">, 176(2), 173–182. (PMID 17227892)</w:t>
      </w:r>
    </w:p>
    <w:p w:rsidR="00000000" w:rsidDel="00000000" w:rsidP="00000000" w:rsidRDefault="00000000" w:rsidRPr="00000000" w14:paraId="000002B3">
      <w:pPr>
        <w:numPr>
          <w:ilvl w:val="0"/>
          <w:numId w:val="9"/>
        </w:numPr>
        <w:ind w:left="720" w:hanging="360"/>
        <w:jc w:val="both"/>
        <w:rPr/>
      </w:pPr>
      <w:r w:rsidDel="00000000" w:rsidR="00000000" w:rsidRPr="00000000">
        <w:rPr>
          <w:rtl w:val="0"/>
        </w:rPr>
        <w:t xml:space="preserve">Mikule, K., Delaval, B., Kaldis, P., Jurcyzk, A., Hergert, P., &amp; Doxsey, S. (2007). Loss of centrosome integrity induces p38–p53–p21-dependent G1-S arrest. </w:t>
      </w:r>
      <w:r w:rsidDel="00000000" w:rsidR="00000000" w:rsidRPr="00000000">
        <w:rPr>
          <w:i w:val="1"/>
          <w:iCs w:val="1"/>
          <w:rtl w:val="0"/>
        </w:rPr>
        <w:t xml:space="preserve">Nature Cell Biology</w:t>
      </w:r>
      <w:r w:rsidDel="00000000" w:rsidR="00000000" w:rsidRPr="00000000">
        <w:rPr>
          <w:rtl w:val="0"/>
        </w:rPr>
        <w:t xml:space="preserve">, 9(2), 160–170. (PMID 17330329)</w:t>
      </w:r>
    </w:p>
    <w:p w:rsidR="00000000" w:rsidDel="00000000" w:rsidP="00000000" w:rsidRDefault="00000000" w:rsidRPr="00000000" w14:paraId="000002B4">
      <w:pPr>
        <w:numPr>
          <w:ilvl w:val="0"/>
          <w:numId w:val="9"/>
        </w:numPr>
        <w:ind w:left="720" w:hanging="360"/>
        <w:jc w:val="both"/>
        <w:rPr/>
      </w:pPr>
      <w:r w:rsidDel="00000000" w:rsidR="00000000" w:rsidRPr="00000000">
        <w:rPr>
          <w:rtl w:val="0"/>
        </w:rPr>
        <w:t xml:space="preserve">Bazzi, H., &amp; Anderson, K. V. (2014). Acentriolar mitosis activates a p53-dependent apoptosis pathway in the mouse embryo. </w:t>
      </w:r>
      <w:r w:rsidDel="00000000" w:rsidR="00000000" w:rsidRPr="00000000">
        <w:rPr>
          <w:i w:val="1"/>
          <w:iCs w:val="1"/>
          <w:rtl w:val="0"/>
        </w:rPr>
        <w:t xml:space="preserve">PNAS</w:t>
      </w:r>
      <w:r w:rsidDel="00000000" w:rsidR="00000000" w:rsidRPr="00000000">
        <w:rPr>
          <w:rtl w:val="0"/>
        </w:rPr>
        <w:t xml:space="preserve">, 111(15), E1491–E1500. (PMID 24706806)</w:t>
      </w:r>
    </w:p>
    <w:p w:rsidR="00000000" w:rsidDel="00000000" w:rsidP="00000000" w:rsidRDefault="00000000" w:rsidRPr="00000000" w14:paraId="000002B5">
      <w:pPr>
        <w:numPr>
          <w:ilvl w:val="0"/>
          <w:numId w:val="9"/>
        </w:numPr>
        <w:ind w:left="720" w:hanging="360"/>
        <w:jc w:val="both"/>
        <w:rPr/>
      </w:pPr>
      <w:r w:rsidDel="00000000" w:rsidR="00000000" w:rsidRPr="00000000">
        <w:rPr>
          <w:rtl w:val="0"/>
        </w:rPr>
        <w:t xml:space="preserve">Xie, C., Abrams, S. R., Herranz-Pérez, V., et al. (2021). Endoderm development requires centrioles to restrain p53-mediated apoptosis in the absence of ERK activity. </w:t>
      </w:r>
      <w:r w:rsidDel="00000000" w:rsidR="00000000" w:rsidRPr="00000000">
        <w:rPr>
          <w:i w:val="1"/>
          <w:iCs w:val="1"/>
          <w:rtl w:val="0"/>
        </w:rPr>
        <w:t xml:space="preserve">Developmental Cell</w:t>
      </w:r>
      <w:r w:rsidDel="00000000" w:rsidR="00000000" w:rsidRPr="00000000">
        <w:rPr>
          <w:rtl w:val="0"/>
        </w:rPr>
        <w:t xml:space="preserve">, 56(24), 3334–3348. (PMID 34932949)</w:t>
      </w:r>
    </w:p>
    <w:p w:rsidR="00000000" w:rsidDel="00000000" w:rsidP="00000000" w:rsidRDefault="00000000" w:rsidRPr="00000000" w14:paraId="000002B6">
      <w:pPr>
        <w:numPr>
          <w:ilvl w:val="0"/>
          <w:numId w:val="9"/>
        </w:numPr>
        <w:ind w:left="720" w:hanging="360"/>
        <w:jc w:val="both"/>
        <w:rPr/>
      </w:pPr>
      <w:r w:rsidDel="00000000" w:rsidR="00000000" w:rsidRPr="00000000">
        <w:rPr>
          <w:rtl w:val="0"/>
        </w:rPr>
        <w:t xml:space="preserve">Mikeladze-Dvali, T., von Tobel, L., Strnad, P., et al. (2012). Analysis of centriole elimination during C. elegans oogenesis. </w:t>
      </w:r>
      <w:r w:rsidDel="00000000" w:rsidR="00000000" w:rsidRPr="00000000">
        <w:rPr>
          <w:i w:val="1"/>
          <w:iCs w:val="1"/>
          <w:rtl w:val="0"/>
        </w:rPr>
        <w:t xml:space="preserve">Development</w:t>
      </w:r>
      <w:r w:rsidDel="00000000" w:rsidR="00000000" w:rsidRPr="00000000">
        <w:rPr>
          <w:rtl w:val="0"/>
        </w:rPr>
        <w:t xml:space="preserve">, 139(9), 1670–1679. (PMID 22492357)</w:t>
      </w:r>
    </w:p>
    <w:p w:rsidR="00000000" w:rsidDel="00000000" w:rsidP="00000000" w:rsidRDefault="00000000" w:rsidRPr="00000000" w14:paraId="000002B7">
      <w:pPr>
        <w:numPr>
          <w:ilvl w:val="0"/>
          <w:numId w:val="9"/>
        </w:numPr>
        <w:ind w:left="720" w:hanging="360"/>
        <w:jc w:val="both"/>
        <w:rPr/>
      </w:pPr>
      <w:r w:rsidDel="00000000" w:rsidR="00000000" w:rsidRPr="00000000">
        <w:rPr>
          <w:rtl w:val="0"/>
        </w:rPr>
        <w:t xml:space="preserve">Szöllosi, D., &amp; Ozil, J. P. (1991). De novo formation of centrioles in parthenogenetically activated, diploidized rabbit embryos. </w:t>
      </w:r>
      <w:r w:rsidDel="00000000" w:rsidR="00000000" w:rsidRPr="00000000">
        <w:rPr>
          <w:i w:val="1"/>
          <w:iCs w:val="1"/>
          <w:rtl w:val="0"/>
        </w:rPr>
        <w:t xml:space="preserve">Biology of the Cell</w:t>
      </w:r>
      <w:r w:rsidDel="00000000" w:rsidR="00000000" w:rsidRPr="00000000">
        <w:rPr>
          <w:rtl w:val="0"/>
        </w:rPr>
        <w:t xml:space="preserve">, 72(1-2), 61–66. (PMID 1756312)</w:t>
      </w:r>
    </w:p>
    <w:p w:rsidR="00000000" w:rsidDel="00000000" w:rsidP="00000000" w:rsidRDefault="00000000" w:rsidRPr="00000000" w14:paraId="000002B8">
      <w:pPr>
        <w:numPr>
          <w:ilvl w:val="0"/>
          <w:numId w:val="9"/>
        </w:numPr>
        <w:ind w:left="720" w:hanging="360"/>
        <w:jc w:val="both"/>
        <w:rPr/>
      </w:pPr>
      <w:r w:rsidDel="00000000" w:rsidR="00000000" w:rsidRPr="00000000">
        <w:rPr>
          <w:rtl w:val="0"/>
        </w:rPr>
        <w:t xml:space="preserve">Riparbelli, M. G., Gottardo, M., &amp; Callaini, G. (2017). Parthenogenesis in insects: The centriole renaissance. </w:t>
      </w:r>
      <w:r w:rsidDel="00000000" w:rsidR="00000000" w:rsidRPr="00000000">
        <w:rPr>
          <w:i w:val="1"/>
          <w:iCs w:val="1"/>
          <w:rtl w:val="0"/>
        </w:rPr>
        <w:t xml:space="preserve">Results and Problems in Cell Differentiation</w:t>
      </w:r>
      <w:r w:rsidDel="00000000" w:rsidR="00000000" w:rsidRPr="00000000">
        <w:rPr>
          <w:rtl w:val="0"/>
        </w:rPr>
        <w:t xml:space="preserve">, 63, 259–274. (PMID 28779329)</w:t>
      </w:r>
    </w:p>
    <w:p w:rsidR="00000000" w:rsidDel="00000000" w:rsidP="00000000" w:rsidRDefault="00000000" w:rsidRPr="00000000" w14:paraId="000002B9">
      <w:pPr>
        <w:numPr>
          <w:ilvl w:val="0"/>
          <w:numId w:val="9"/>
        </w:numPr>
        <w:ind w:left="720" w:hanging="360"/>
        <w:jc w:val="both"/>
        <w:rPr/>
      </w:pPr>
      <w:r w:rsidDel="00000000" w:rsidR="00000000" w:rsidRPr="00000000">
        <w:rPr>
          <w:rtl w:val="0"/>
        </w:rPr>
        <w:t xml:space="preserve">Inoue, D., Wittbrodt, J., &amp; Gruss, O. J. (2018). Loss and rebirth of the animal microtubule organizing center: How maternal expression of centrosomal proteins recovers after fertilization. </w:t>
      </w:r>
      <w:r w:rsidDel="00000000" w:rsidR="00000000" w:rsidRPr="00000000">
        <w:rPr>
          <w:i w:val="1"/>
          <w:iCs w:val="1"/>
          <w:rtl w:val="0"/>
        </w:rPr>
        <w:t xml:space="preserve">BioEssays</w:t>
      </w:r>
      <w:r w:rsidDel="00000000" w:rsidR="00000000" w:rsidRPr="00000000">
        <w:rPr>
          <w:rtl w:val="0"/>
        </w:rPr>
        <w:t xml:space="preserve">, 40(4), e1700135. (PMID 29522658)</w:t>
      </w:r>
    </w:p>
    <w:p w:rsidR="00000000" w:rsidDel="00000000" w:rsidP="00000000" w:rsidRDefault="00000000" w:rsidRPr="00000000" w14:paraId="000002BA">
      <w:pPr>
        <w:numPr>
          <w:ilvl w:val="0"/>
          <w:numId w:val="9"/>
        </w:numPr>
        <w:ind w:left="720" w:hanging="360"/>
        <w:jc w:val="both"/>
        <w:rPr/>
      </w:pPr>
      <w:r w:rsidDel="00000000" w:rsidR="00000000" w:rsidRPr="00000000">
        <w:rPr>
          <w:rtl w:val="0"/>
        </w:rPr>
        <w:t xml:space="preserve">Hong, N., &amp; Cohen, A. A. (2025). Aging as entropy: A quantifiable framework. </w:t>
      </w:r>
      <w:r w:rsidDel="00000000" w:rsidR="00000000" w:rsidRPr="00000000">
        <w:rPr>
          <w:i w:val="1"/>
          <w:iCs w:val="1"/>
          <w:rtl w:val="0"/>
        </w:rPr>
        <w:t xml:space="preserve">Endocrinology and Metabolism</w:t>
      </w:r>
      <w:r w:rsidDel="00000000" w:rsidR="00000000" w:rsidRPr="00000000">
        <w:rPr>
          <w:rtl w:val="0"/>
        </w:rPr>
        <w:t xml:space="preserve">, 40(6), 876–878. (PMID 41299832)</w:t>
      </w:r>
    </w:p>
    <w:p w:rsidR="00000000" w:rsidDel="00000000" w:rsidP="00000000" w:rsidRDefault="00000000" w:rsidRPr="00000000" w14:paraId="000002BB">
      <w:pPr>
        <w:numPr>
          <w:ilvl w:val="0"/>
          <w:numId w:val="9"/>
        </w:numPr>
        <w:ind w:left="720" w:hanging="360"/>
        <w:jc w:val="both"/>
        <w:rPr/>
      </w:pPr>
      <w:r w:rsidDel="00000000" w:rsidR="00000000" w:rsidRPr="00000000">
        <w:rPr>
          <w:rtl w:val="0"/>
        </w:rPr>
        <w:t xml:space="preserve">Cummings, S. R., Hong, N., Cohen, A. A., et al. (2025). Entropy and human aging. </w:t>
      </w:r>
      <w:r w:rsidDel="00000000" w:rsidR="00000000" w:rsidRPr="00000000">
        <w:rPr>
          <w:i w:val="1"/>
          <w:iCs w:val="1"/>
          <w:rtl w:val="0"/>
        </w:rPr>
        <w:t xml:space="preserve">Aging Cell</w:t>
      </w:r>
      <w:r w:rsidDel="00000000" w:rsidR="00000000" w:rsidRPr="00000000">
        <w:rPr>
          <w:rtl w:val="0"/>
        </w:rPr>
        <w:t xml:space="preserve">, e70292. (PMID 41230623)</w:t>
      </w:r>
    </w:p>
    <w:p w:rsidR="00000000" w:rsidDel="00000000" w:rsidP="00000000" w:rsidRDefault="00000000" w:rsidRPr="00000000" w14:paraId="000002BC">
      <w:pPr>
        <w:numPr>
          <w:ilvl w:val="0"/>
          <w:numId w:val="9"/>
        </w:numPr>
        <w:ind w:left="720" w:hanging="360"/>
        <w:jc w:val="both"/>
        <w:rPr/>
      </w:pPr>
      <w:r w:rsidDel="00000000" w:rsidR="00000000" w:rsidRPr="00000000">
        <w:rPr>
          <w:rtl w:val="0"/>
        </w:rPr>
        <w:t xml:space="preserve">De Man, R., et al. (2026). Single-cell atlas of human lung aging identifies cell type dyssynchrony. (PMID 41571679)</w:t>
      </w:r>
    </w:p>
    <w:p w:rsidR="00000000" w:rsidDel="00000000" w:rsidP="00000000" w:rsidRDefault="00000000" w:rsidRPr="00000000" w14:paraId="000002BD">
      <w:pPr>
        <w:numPr>
          <w:ilvl w:val="0"/>
          <w:numId w:val="9"/>
        </w:numPr>
        <w:ind w:left="720" w:hanging="360"/>
        <w:jc w:val="both"/>
        <w:rPr/>
      </w:pPr>
      <w:r w:rsidDel="00000000" w:rsidR="00000000" w:rsidRPr="00000000">
        <w:rPr>
          <w:rtl w:val="0"/>
        </w:rPr>
        <w:t xml:space="preserve">Fong, C. S., Mazo, G., Das, T., Goodman, J., Kim, M., O’Rourke, R., Izquierdo, D., &amp; Tsou, M.-F. B. (2016). 53BP1 and USP28 mediate p53-dependent cell cycle arrest in response to centrosome loss and prolonged mitosis. </w:t>
      </w:r>
      <w:r w:rsidDel="00000000" w:rsidR="00000000" w:rsidRPr="00000000">
        <w:rPr>
          <w:i w:val="1"/>
          <w:iCs w:val="1"/>
          <w:rtl w:val="0"/>
        </w:rPr>
        <w:t xml:space="preserve">eLife</w:t>
      </w:r>
      <w:r w:rsidDel="00000000" w:rsidR="00000000" w:rsidRPr="00000000">
        <w:rPr>
          <w:rtl w:val="0"/>
        </w:rPr>
        <w:t xml:space="preserve">, 5, e16270. https://doi.org/10.7554/eLife.16270 (PMID 27371829) — </w:t>
      </w:r>
      <w:r w:rsidDel="00000000" w:rsidR="00000000" w:rsidRPr="00000000">
        <w:rPr>
          <w:b w:val="1"/>
          <w:bCs w:val="1"/>
          <w:rtl w:val="0"/>
        </w:rPr>
        <w:t xml:space="preserve">mitotic surveillance pathway (v7.0; article number corrected to e16270 in v7.8)</w:t>
      </w:r>
      <w:r w:rsidDel="00000000" w:rsidR="00000000" w:rsidRPr="00000000">
        <w:rPr>
          <w:rtl w:val="0"/>
        </w:rPr>
      </w:r>
    </w:p>
    <w:p w:rsidR="00000000" w:rsidDel="00000000" w:rsidP="00000000" w:rsidRDefault="00000000" w:rsidRPr="00000000" w14:paraId="000002BE">
      <w:pPr>
        <w:numPr>
          <w:ilvl w:val="0"/>
          <w:numId w:val="9"/>
        </w:numPr>
        <w:ind w:left="720" w:hanging="360"/>
        <w:jc w:val="both"/>
        <w:rPr/>
      </w:pPr>
      <w:r w:rsidDel="00000000" w:rsidR="00000000" w:rsidRPr="00000000">
        <w:rPr>
          <w:rtl w:val="0"/>
        </w:rPr>
        <w:t xml:space="preserve">Meitinger, F., Anzola, J. V., Kaulich, M., et al. (2016). 53BP1 and USP28 mediate p53 activation and G1 arrest after centrosome loss or extended mitotic duration. </w:t>
      </w:r>
      <w:r w:rsidDel="00000000" w:rsidR="00000000" w:rsidRPr="00000000">
        <w:rPr>
          <w:i w:val="1"/>
          <w:iCs w:val="1"/>
          <w:rtl w:val="0"/>
        </w:rPr>
        <w:t xml:space="preserve">Journal of Cell Biology</w:t>
      </w:r>
      <w:r w:rsidDel="00000000" w:rsidR="00000000" w:rsidRPr="00000000">
        <w:rPr>
          <w:rtl w:val="0"/>
        </w:rPr>
        <w:t xml:space="preserve">, 214(2), 155–166. https://doi.org/10.1083/jcb.201604081 (PMID 27432897) — </w:t>
      </w:r>
      <w:r w:rsidDel="00000000" w:rsidR="00000000" w:rsidRPr="00000000">
        <w:rPr>
          <w:b w:val="1"/>
          <w:bCs w:val="1"/>
          <w:rtl w:val="0"/>
        </w:rPr>
        <w:t xml:space="preserve">independent confirmation (v7.0)</w:t>
      </w:r>
      <w:r w:rsidDel="00000000" w:rsidR="00000000" w:rsidRPr="00000000">
        <w:rPr>
          <w:rtl w:val="0"/>
        </w:rPr>
      </w:r>
    </w:p>
    <w:p w:rsidR="00000000" w:rsidDel="00000000" w:rsidP="00000000" w:rsidRDefault="00000000" w:rsidRPr="00000000" w14:paraId="000002BF">
      <w:pPr>
        <w:numPr>
          <w:ilvl w:val="0"/>
          <w:numId w:val="9"/>
        </w:numPr>
        <w:ind w:left="720" w:hanging="360"/>
        <w:jc w:val="both"/>
        <w:rPr/>
      </w:pPr>
      <w:r w:rsidDel="00000000" w:rsidR="00000000" w:rsidRPr="00000000">
        <w:rPr>
          <w:rtl w:val="0"/>
        </w:rPr>
        <w:t xml:space="preserve">Bratt, A., Kilgas, S., Tarazona Guzman, M., et al. (2025). Pharmacologic interrogation of USP28 cellular function in p53 signaling. </w:t>
      </w:r>
      <w:r w:rsidDel="00000000" w:rsidR="00000000" w:rsidRPr="00000000">
        <w:rPr>
          <w:i w:val="1"/>
          <w:iCs w:val="1"/>
          <w:rtl w:val="0"/>
        </w:rPr>
        <w:t xml:space="preserve">Cell Chemical Biology</w:t>
      </w:r>
      <w:r w:rsidDel="00000000" w:rsidR="00000000" w:rsidRPr="00000000">
        <w:rPr>
          <w:rtl w:val="0"/>
        </w:rPr>
        <w:t xml:space="preserve">, 32. https://doi.org/10.1016/j.chembiol.2025.08.002 (PMID 40902594) — </w:t>
      </w:r>
      <w:r w:rsidDel="00000000" w:rsidR="00000000" w:rsidRPr="00000000">
        <w:rPr>
          <w:b w:val="1"/>
          <w:bCs w:val="1"/>
          <w:rtl w:val="0"/>
        </w:rPr>
        <w:t xml:space="preserve">USP28 chemical tools (v7.0)</w:t>
      </w:r>
      <w:r w:rsidDel="00000000" w:rsidR="00000000" w:rsidRPr="00000000">
        <w:rPr>
          <w:rtl w:val="0"/>
        </w:rPr>
      </w:r>
    </w:p>
    <w:p w:rsidR="00000000" w:rsidDel="00000000" w:rsidP="00000000" w:rsidRDefault="00000000" w:rsidRPr="00000000" w14:paraId="000002C0">
      <w:pPr>
        <w:numPr>
          <w:ilvl w:val="0"/>
          <w:numId w:val="9"/>
        </w:numPr>
        <w:ind w:left="720" w:hanging="360"/>
        <w:jc w:val="both"/>
        <w:rPr/>
      </w:pPr>
      <w:r w:rsidDel="00000000" w:rsidR="00000000" w:rsidRPr="00000000">
        <w:rPr>
          <w:rtl w:val="0"/>
        </w:rPr>
        <w:t xml:space="preserve">Hernandez-Olmos, V., Patzke, S., Stone, P., et al. (2026). Structure merging approach leads to new dual potent and selective USP25/USP28 inhibitors. </w:t>
      </w:r>
      <w:r w:rsidDel="00000000" w:rsidR="00000000" w:rsidRPr="00000000">
        <w:rPr>
          <w:i w:val="1"/>
          <w:iCs w:val="1"/>
          <w:rtl w:val="0"/>
        </w:rPr>
        <w:t xml:space="preserve">Journal of Medicinal Chemistry</w:t>
      </w:r>
      <w:r w:rsidDel="00000000" w:rsidR="00000000" w:rsidRPr="00000000">
        <w:rPr>
          <w:rtl w:val="0"/>
        </w:rPr>
        <w:t xml:space="preserve">. https://doi.org/10.1021/acs.jmedchem.5c03045 (PMID 42017948) — </w:t>
      </w:r>
      <w:r w:rsidDel="00000000" w:rsidR="00000000" w:rsidRPr="00000000">
        <w:rPr>
          <w:b w:val="1"/>
          <w:bCs w:val="1"/>
          <w:rtl w:val="0"/>
        </w:rPr>
        <w:t xml:space="preserve">selective USP25/28 inhibitors (v7.0)</w:t>
      </w:r>
      <w:r w:rsidDel="00000000" w:rsidR="00000000" w:rsidRPr="00000000">
        <w:rPr>
          <w:rtl w:val="0"/>
        </w:rPr>
      </w:r>
    </w:p>
    <w:p w:rsidR="00000000" w:rsidDel="00000000" w:rsidP="00000000" w:rsidRDefault="00000000" w:rsidRPr="00000000" w14:paraId="000002C1">
      <w:pPr>
        <w:numPr>
          <w:ilvl w:val="0"/>
          <w:numId w:val="9"/>
        </w:numPr>
        <w:ind w:left="720" w:hanging="360"/>
        <w:jc w:val="both"/>
        <w:rPr/>
      </w:pPr>
      <w:r w:rsidDel="00000000" w:rsidR="00000000" w:rsidRPr="00000000">
        <w:rPr>
          <w:rtl w:val="0"/>
        </w:rPr>
        <w:t xml:space="preserve">Wang, J., et al. (2021). Centrosome defects cause microcephaly by activating the 53BP1–USP28–TP53 mitotic surveillance pathway. </w:t>
      </w:r>
      <w:r w:rsidDel="00000000" w:rsidR="00000000" w:rsidRPr="00000000">
        <w:rPr>
          <w:i w:val="1"/>
          <w:iCs w:val="1"/>
          <w:rtl w:val="0"/>
        </w:rPr>
        <w:t xml:space="preserve">The EMBO Journal</w:t>
      </w:r>
      <w:r w:rsidDel="00000000" w:rsidR="00000000" w:rsidRPr="00000000">
        <w:rPr>
          <w:rtl w:val="0"/>
        </w:rPr>
        <w:t xml:space="preserve">, 40, e106118. (PMID 33226141) — </w:t>
      </w:r>
      <w:r w:rsidDel="00000000" w:rsidR="00000000" w:rsidRPr="00000000">
        <w:rPr>
          <w:b w:val="1"/>
          <w:bCs w:val="1"/>
          <w:rtl w:val="0"/>
        </w:rPr>
        <w:t xml:space="preserve">in vivo confirmation of the pathway (v7.0)</w:t>
      </w:r>
      <w:r w:rsidDel="00000000" w:rsidR="00000000" w:rsidRPr="00000000">
        <w:rPr>
          <w:rtl w:val="0"/>
        </w:rPr>
      </w:r>
    </w:p>
    <w:p w:rsidR="00000000" w:rsidDel="00000000" w:rsidP="00000000" w:rsidRDefault="00000000" w:rsidRPr="00000000" w14:paraId="000002C2">
      <w:pPr>
        <w:numPr>
          <w:ilvl w:val="0"/>
          <w:numId w:val="9"/>
        </w:numPr>
        <w:ind w:left="720" w:hanging="360"/>
        <w:jc w:val="both"/>
        <w:rPr/>
      </w:pPr>
      <w:r w:rsidDel="00000000" w:rsidR="00000000" w:rsidRPr="00000000">
        <w:rPr>
          <w:rtl w:val="0"/>
        </w:rPr>
        <w:t xml:space="preserve">Yamashita, Y. M., Mahowald, A. P., Perlin, J. R., &amp; Fuller, M. T. (2007). Asymmetric inheritance of mother versus daughter centrosome in stem cell division. </w:t>
      </w:r>
      <w:r w:rsidDel="00000000" w:rsidR="00000000" w:rsidRPr="00000000">
        <w:rPr>
          <w:i w:val="1"/>
          <w:iCs w:val="1"/>
          <w:rtl w:val="0"/>
        </w:rPr>
        <w:t xml:space="preserve">Science</w:t>
      </w:r>
      <w:r w:rsidDel="00000000" w:rsidR="00000000" w:rsidRPr="00000000">
        <w:rPr>
          <w:rtl w:val="0"/>
        </w:rPr>
        <w:t xml:space="preserve">, 315(5811), 518–521. https://doi.org/10.1126/science.1134910 (PMID 17255513) — </w:t>
      </w:r>
      <w:r w:rsidDel="00000000" w:rsidR="00000000" w:rsidRPr="00000000">
        <w:rPr>
          <w:b w:val="1"/>
          <w:bCs w:val="1"/>
          <w:rtl w:val="0"/>
        </w:rPr>
        <w:t xml:space="preserve">DOI added in v7.0</w:t>
      </w:r>
      <w:r w:rsidDel="00000000" w:rsidR="00000000" w:rsidRPr="00000000">
        <w:rPr>
          <w:rtl w:val="0"/>
        </w:rPr>
      </w:r>
    </w:p>
    <w:p w:rsidR="00000000" w:rsidDel="00000000" w:rsidP="00000000" w:rsidRDefault="00000000" w:rsidRPr="00000000" w14:paraId="000002C3">
      <w:pPr>
        <w:numPr>
          <w:ilvl w:val="0"/>
          <w:numId w:val="9"/>
        </w:numPr>
        <w:ind w:left="720" w:hanging="360"/>
        <w:jc w:val="both"/>
        <w:rPr/>
      </w:pPr>
      <w:r w:rsidDel="00000000" w:rsidR="00000000" w:rsidRPr="00000000">
        <w:rPr>
          <w:rtl w:val="0"/>
        </w:rPr>
        <w:t xml:space="preserve">Nabet, B., et al. (2018). The dTAG system for immediate and target-specific protein degradation. </w:t>
      </w:r>
      <w:r w:rsidDel="00000000" w:rsidR="00000000" w:rsidRPr="00000000">
        <w:rPr>
          <w:i w:val="1"/>
          <w:iCs w:val="1"/>
          <w:rtl w:val="0"/>
        </w:rPr>
        <w:t xml:space="preserve">Nature Chemical Biology</w:t>
      </w:r>
      <w:r w:rsidDel="00000000" w:rsidR="00000000" w:rsidRPr="00000000">
        <w:rPr>
          <w:rtl w:val="0"/>
        </w:rPr>
        <w:t xml:space="preserve">, 14(5), 431–441. (PMID 29581585) — </w:t>
      </w:r>
      <w:r w:rsidDel="00000000" w:rsidR="00000000" w:rsidRPr="00000000">
        <w:rPr>
          <w:b w:val="1"/>
          <w:bCs w:val="1"/>
          <w:rtl w:val="0"/>
        </w:rPr>
        <w:t xml:space="preserve">dTAG system (v7.1)</w:t>
      </w:r>
      <w:r w:rsidDel="00000000" w:rsidR="00000000" w:rsidRPr="00000000">
        <w:rPr>
          <w:rtl w:val="0"/>
        </w:rPr>
      </w:r>
    </w:p>
    <w:p w:rsidR="00000000" w:rsidDel="00000000" w:rsidP="00000000" w:rsidRDefault="00000000" w:rsidRPr="00000000" w14:paraId="000002C4">
      <w:pPr>
        <w:numPr>
          <w:ilvl w:val="0"/>
          <w:numId w:val="9"/>
        </w:numPr>
        <w:ind w:left="720" w:hanging="360"/>
        <w:jc w:val="both"/>
        <w:rPr/>
      </w:pPr>
      <w:r w:rsidDel="00000000" w:rsidR="00000000" w:rsidRPr="00000000">
        <w:rPr>
          <w:rtl w:val="0"/>
        </w:rPr>
        <w:t xml:space="preserve">Yesbolatova, A., et al. (2020). The auxin-inducible degron 2 technology provides sharp degradation control in yeast, mammalian cells, and mice. </w:t>
      </w:r>
      <w:r w:rsidDel="00000000" w:rsidR="00000000" w:rsidRPr="00000000">
        <w:rPr>
          <w:i w:val="1"/>
          <w:iCs w:val="1"/>
          <w:rtl w:val="0"/>
        </w:rPr>
        <w:t xml:space="preserve">Nature Communications</w:t>
      </w:r>
      <w:r w:rsidDel="00000000" w:rsidR="00000000" w:rsidRPr="00000000">
        <w:rPr>
          <w:rtl w:val="0"/>
        </w:rPr>
        <w:t xml:space="preserve">, 11, 5701. (PMID 33177522) — </w:t>
      </w:r>
      <w:r w:rsidDel="00000000" w:rsidR="00000000" w:rsidRPr="00000000">
        <w:rPr>
          <w:b w:val="1"/>
          <w:bCs w:val="1"/>
          <w:rtl w:val="0"/>
        </w:rPr>
        <w:t xml:space="preserve">AID2 platform (v7.1)</w:t>
      </w:r>
      <w:r w:rsidDel="00000000" w:rsidR="00000000" w:rsidRPr="00000000">
        <w:rPr>
          <w:rtl w:val="0"/>
        </w:rPr>
      </w:r>
    </w:p>
    <w:p w:rsidR="00000000" w:rsidDel="00000000" w:rsidP="00000000" w:rsidRDefault="00000000" w:rsidRPr="00000000" w14:paraId="000002C5">
      <w:pPr>
        <w:numPr>
          <w:ilvl w:val="0"/>
          <w:numId w:val="9"/>
        </w:numPr>
        <w:ind w:left="720" w:hanging="360"/>
        <w:jc w:val="both"/>
        <w:rPr/>
      </w:pPr>
      <w:r w:rsidDel="00000000" w:rsidR="00000000" w:rsidRPr="00000000">
        <w:rPr>
          <w:rtl w:val="0"/>
        </w:rPr>
        <w:t xml:space="preserve">Sun, X., Xue, J., Sun, X., et al. (2023). Discovery of the first potent, selective, and in vivo efficacious polo-like kinase 4 proteolysis targeting chimera degrader. </w:t>
      </w:r>
      <w:r w:rsidDel="00000000" w:rsidR="00000000" w:rsidRPr="00000000">
        <w:rPr>
          <w:i w:val="1"/>
          <w:iCs w:val="1"/>
          <w:rtl w:val="0"/>
        </w:rPr>
        <w:t xml:space="preserve">Journal of Medicinal Chemistry</w:t>
      </w:r>
      <w:r w:rsidDel="00000000" w:rsidR="00000000" w:rsidRPr="00000000">
        <w:rPr>
          <w:rtl w:val="0"/>
        </w:rPr>
        <w:t xml:space="preserve">, 66(12), 8200–8221. https://doi.org/10.1021/acs.jmedchem.3c00505 (PMID 37279162) — </w:t>
      </w:r>
      <w:r w:rsidDel="00000000" w:rsidR="00000000" w:rsidRPr="00000000">
        <w:rPr>
          <w:b w:val="1"/>
          <w:bCs w:val="1"/>
          <w:rtl w:val="0"/>
        </w:rPr>
        <w:t xml:space="preserve">PLK4-PROTAC (v7.1)</w:t>
      </w:r>
      <w:r w:rsidDel="00000000" w:rsidR="00000000" w:rsidRPr="00000000">
        <w:rPr>
          <w:rtl w:val="0"/>
        </w:rPr>
      </w:r>
    </w:p>
    <w:p w:rsidR="00000000" w:rsidDel="00000000" w:rsidP="00000000" w:rsidRDefault="00000000" w:rsidRPr="00000000" w14:paraId="000002C6">
      <w:pPr>
        <w:numPr>
          <w:ilvl w:val="0"/>
          <w:numId w:val="9"/>
        </w:numPr>
        <w:ind w:left="720" w:hanging="360"/>
        <w:jc w:val="both"/>
        <w:rPr/>
      </w:pPr>
      <w:r w:rsidDel="00000000" w:rsidR="00000000" w:rsidRPr="00000000">
        <w:rPr>
          <w:rtl w:val="0"/>
        </w:rPr>
        <w:t xml:space="preserve">Sladky, V. C., Strong, M. A., Tapias-Gomez, M., et al. (2025). Rapid and sustained degradation of the essential centrosome protein CEP192 in live mice using the AID2 system. </w:t>
      </w:r>
      <w:r w:rsidDel="00000000" w:rsidR="00000000" w:rsidRPr="00000000">
        <w:rPr>
          <w:i w:val="1"/>
          <w:iCs w:val="1"/>
          <w:rtl w:val="0"/>
        </w:rPr>
        <w:t xml:space="preserve">Science Advances</w:t>
      </w:r>
      <w:r w:rsidDel="00000000" w:rsidR="00000000" w:rsidRPr="00000000">
        <w:rPr>
          <w:rtl w:val="0"/>
        </w:rPr>
        <w:t xml:space="preserve">, 11, eadq2339. https://doi.org/10.1126/sciadv.adq2339 (PMID 40020058) — </w:t>
      </w:r>
      <w:r w:rsidDel="00000000" w:rsidR="00000000" w:rsidRPr="00000000">
        <w:rPr>
          <w:b w:val="1"/>
          <w:bCs w:val="1"/>
          <w:rtl w:val="0"/>
        </w:rPr>
        <w:t xml:space="preserve">AID2 on centrosomal protein in vivo (v7.1)</w:t>
      </w:r>
      <w:r w:rsidDel="00000000" w:rsidR="00000000" w:rsidRPr="00000000">
        <w:rPr>
          <w:rtl w:val="0"/>
        </w:rPr>
      </w:r>
    </w:p>
    <w:p w:rsidR="00000000" w:rsidDel="00000000" w:rsidP="00000000" w:rsidRDefault="00000000" w:rsidRPr="00000000" w14:paraId="000002C7">
      <w:pPr>
        <w:numPr>
          <w:ilvl w:val="0"/>
          <w:numId w:val="9"/>
        </w:numPr>
        <w:ind w:left="720" w:hanging="360"/>
        <w:jc w:val="both"/>
        <w:rPr/>
      </w:pPr>
      <w:r w:rsidDel="00000000" w:rsidR="00000000" w:rsidRPr="00000000">
        <w:rPr>
          <w:rtl w:val="0"/>
        </w:rPr>
        <w:t xml:space="preserve">Fava, L. L., Schuler, F., Sladky, V., et al. (2017). The PIDDosome activates p53 in response to supernumerary centrosomes. </w:t>
      </w:r>
      <w:r w:rsidDel="00000000" w:rsidR="00000000" w:rsidRPr="00000000">
        <w:rPr>
          <w:i w:val="1"/>
          <w:iCs w:val="1"/>
          <w:rtl w:val="0"/>
        </w:rPr>
        <w:t xml:space="preserve">Genes &amp; Development</w:t>
      </w:r>
      <w:r w:rsidDel="00000000" w:rsidR="00000000" w:rsidRPr="00000000">
        <w:rPr>
          <w:rtl w:val="0"/>
        </w:rPr>
        <w:t xml:space="preserve">, 31(1), 34–45. (PMID 28130345) — </w:t>
      </w:r>
      <w:r w:rsidDel="00000000" w:rsidR="00000000" w:rsidRPr="00000000">
        <w:rPr>
          <w:b w:val="1"/>
          <w:bCs w:val="1"/>
          <w:rtl w:val="0"/>
        </w:rPr>
        <w:t xml:space="preserve">PIDDosome–p53 axis (v7.3)</w:t>
      </w:r>
      <w:r w:rsidDel="00000000" w:rsidR="00000000" w:rsidRPr="00000000">
        <w:rPr>
          <w:rtl w:val="0"/>
        </w:rPr>
      </w:r>
    </w:p>
    <w:p w:rsidR="00000000" w:rsidDel="00000000" w:rsidP="00000000" w:rsidRDefault="00000000" w:rsidRPr="00000000" w14:paraId="000002C8">
      <w:pPr>
        <w:numPr>
          <w:ilvl w:val="0"/>
          <w:numId w:val="9"/>
        </w:numPr>
        <w:ind w:left="720" w:hanging="360"/>
        <w:jc w:val="both"/>
        <w:rPr/>
      </w:pPr>
      <w:r w:rsidDel="00000000" w:rsidR="00000000" w:rsidRPr="00000000">
        <w:rPr>
          <w:rtl w:val="0"/>
        </w:rPr>
        <w:t xml:space="preserve">Burigotto, M., Mattivi, A., Migliorati, D., et al. (2021). Centriolar distal appendages activate the centrosome–PIDDosome–p53 signalling axis via ANKRD26. </w:t>
      </w:r>
      <w:r w:rsidDel="00000000" w:rsidR="00000000" w:rsidRPr="00000000">
        <w:rPr>
          <w:i w:val="1"/>
          <w:iCs w:val="1"/>
          <w:rtl w:val="0"/>
        </w:rPr>
        <w:t xml:space="preserve">The EMBO Journal</w:t>
      </w:r>
      <w:r w:rsidDel="00000000" w:rsidR="00000000" w:rsidRPr="00000000">
        <w:rPr>
          <w:rtl w:val="0"/>
        </w:rPr>
        <w:t xml:space="preserve">, 40, e106124. (PMID 33350486) — </w:t>
      </w:r>
      <w:r w:rsidDel="00000000" w:rsidR="00000000" w:rsidRPr="00000000">
        <w:rPr>
          <w:b w:val="1"/>
          <w:bCs w:val="1"/>
          <w:rtl w:val="0"/>
        </w:rPr>
        <w:t xml:space="preserve">ANKRD26–PIDDosome coupling (v7.3; author corrected to Burigotto in v8.0)</w:t>
      </w:r>
      <w:r w:rsidDel="00000000" w:rsidR="00000000" w:rsidRPr="00000000">
        <w:rPr>
          <w:rtl w:val="0"/>
        </w:rPr>
      </w:r>
    </w:p>
    <w:p w:rsidR="00000000" w:rsidDel="00000000" w:rsidP="00000000" w:rsidRDefault="00000000" w:rsidRPr="00000000" w14:paraId="000002C9">
      <w:pPr>
        <w:numPr>
          <w:ilvl w:val="0"/>
          <w:numId w:val="9"/>
        </w:numPr>
        <w:ind w:left="720" w:hanging="360"/>
        <w:jc w:val="both"/>
        <w:rPr/>
      </w:pPr>
      <w:r w:rsidDel="00000000" w:rsidR="00000000" w:rsidRPr="00000000">
        <w:rPr>
          <w:rtl w:val="0"/>
        </w:rPr>
        <w:t xml:space="preserve">Schuler, F., et al. (2023). Extra centrosomes induce PIDD1-mediated inflammation and immunosurveillance. </w:t>
      </w:r>
      <w:r w:rsidDel="00000000" w:rsidR="00000000" w:rsidRPr="00000000">
        <w:rPr>
          <w:i w:val="1"/>
          <w:iCs w:val="1"/>
          <w:rtl w:val="0"/>
        </w:rPr>
        <w:t xml:space="preserve">The EMBO Journal</w:t>
      </w:r>
      <w:r w:rsidDel="00000000" w:rsidR="00000000" w:rsidRPr="00000000">
        <w:rPr>
          <w:rtl w:val="0"/>
        </w:rPr>
        <w:t xml:space="preserve">, 42, e114710. (PMID 37530438) — </w:t>
      </w:r>
      <w:r w:rsidDel="00000000" w:rsidR="00000000" w:rsidRPr="00000000">
        <w:rPr>
          <w:b w:val="1"/>
          <w:bCs w:val="1"/>
          <w:rtl w:val="0"/>
        </w:rPr>
        <w:t xml:space="preserve">PIDD1 inflammation (v7.3)</w:t>
      </w:r>
      <w:r w:rsidDel="00000000" w:rsidR="00000000" w:rsidRPr="00000000">
        <w:rPr>
          <w:rtl w:val="0"/>
        </w:rPr>
      </w:r>
    </w:p>
    <w:p w:rsidR="00000000" w:rsidDel="00000000" w:rsidP="00000000" w:rsidRDefault="00000000" w:rsidRPr="00000000" w14:paraId="000002CA">
      <w:pPr>
        <w:numPr>
          <w:ilvl w:val="0"/>
          <w:numId w:val="9"/>
        </w:numPr>
        <w:ind w:left="720" w:hanging="360"/>
        <w:jc w:val="both"/>
        <w:rPr/>
      </w:pPr>
      <w:r w:rsidDel="00000000" w:rsidR="00000000" w:rsidRPr="00000000">
        <w:rPr>
          <w:rtl w:val="0"/>
        </w:rPr>
        <w:t xml:space="preserve">Pistorio, V., Vatier, C., Capel, E., et al. (2026). Centriolar protein POC5 regulates human adipogenesis and cellular senescence. </w:t>
      </w:r>
      <w:r w:rsidDel="00000000" w:rsidR="00000000" w:rsidRPr="00000000">
        <w:rPr>
          <w:i w:val="1"/>
          <w:iCs w:val="1"/>
          <w:rtl w:val="0"/>
        </w:rPr>
        <w:t xml:space="preserve">FASEB Journal</w:t>
      </w:r>
      <w:r w:rsidDel="00000000" w:rsidR="00000000" w:rsidRPr="00000000">
        <w:rPr>
          <w:rtl w:val="0"/>
        </w:rPr>
        <w:t xml:space="preserve">, 40, e72158. https://doi.org/10.1096/fj.202601789R (PMID 42507085) — </w:t>
      </w:r>
      <w:r w:rsidDel="00000000" w:rsidR="00000000" w:rsidRPr="00000000">
        <w:rPr>
          <w:b w:val="1"/>
          <w:bCs w:val="1"/>
          <w:rtl w:val="0"/>
        </w:rPr>
        <w:t xml:space="preserve">centriolar protein–senescence link (v7.4)</w:t>
      </w:r>
      <w:r w:rsidDel="00000000" w:rsidR="00000000" w:rsidRPr="00000000">
        <w:rPr>
          <w:rtl w:val="0"/>
        </w:rPr>
      </w:r>
    </w:p>
    <w:p w:rsidR="00000000" w:rsidDel="00000000" w:rsidP="00000000" w:rsidRDefault="00000000" w:rsidRPr="00000000" w14:paraId="000002CB">
      <w:pPr>
        <w:numPr>
          <w:ilvl w:val="0"/>
          <w:numId w:val="9"/>
        </w:numPr>
        <w:ind w:left="720" w:hanging="360"/>
        <w:jc w:val="both"/>
        <w:rPr/>
      </w:pPr>
      <w:r w:rsidDel="00000000" w:rsidR="00000000" w:rsidRPr="00000000">
        <w:rPr>
          <w:rtl w:val="0"/>
        </w:rPr>
        <w:t xml:space="preserve">Biven, C., &amp; Wang, J. (2025). Mechanisms underlying centriole stability. </w:t>
      </w:r>
      <w:r w:rsidDel="00000000" w:rsidR="00000000" w:rsidRPr="00000000">
        <w:rPr>
          <w:i w:val="1"/>
          <w:iCs w:val="1"/>
          <w:rtl w:val="0"/>
        </w:rPr>
        <w:t xml:space="preserve">Journal of Biological Chemistry</w:t>
      </w:r>
      <w:r w:rsidDel="00000000" w:rsidR="00000000" w:rsidRPr="00000000">
        <w:rPr>
          <w:rtl w:val="0"/>
        </w:rPr>
        <w:t xml:space="preserve">, 301, 110869. https://doi.org/10.1016/j.jbc.2025.110869 (PMID 41167311) — </w:t>
      </w:r>
      <w:r w:rsidDel="00000000" w:rsidR="00000000" w:rsidRPr="00000000">
        <w:rPr>
          <w:b w:val="1"/>
          <w:bCs w:val="1"/>
          <w:rtl w:val="0"/>
        </w:rPr>
        <w:t xml:space="preserve">centriole stability / H_programmed basis (v7.4)</w:t>
      </w:r>
      <w:r w:rsidDel="00000000" w:rsidR="00000000" w:rsidRPr="00000000">
        <w:rPr>
          <w:rtl w:val="0"/>
        </w:rPr>
      </w:r>
    </w:p>
    <w:p w:rsidR="00000000" w:rsidDel="00000000" w:rsidP="00000000" w:rsidRDefault="00000000" w:rsidRPr="00000000" w14:paraId="000002CC">
      <w:pPr>
        <w:numPr>
          <w:ilvl w:val="0"/>
          <w:numId w:val="9"/>
        </w:numPr>
        <w:ind w:left="720" w:hanging="360"/>
        <w:jc w:val="both"/>
        <w:rPr/>
      </w:pPr>
      <w:r w:rsidDel="00000000" w:rsidR="00000000" w:rsidRPr="00000000">
        <w:rPr>
          <w:rtl w:val="0"/>
        </w:rPr>
        <w:t xml:space="preserve">Muntaqua, A., et al. (2025). Polo-like kinase 4: A molecular linchpin in cancer and its management. </w:t>
      </w:r>
      <w:r w:rsidDel="00000000" w:rsidR="00000000" w:rsidRPr="00000000">
        <w:rPr>
          <w:i w:val="1"/>
          <w:iCs w:val="1"/>
          <w:rtl w:val="0"/>
        </w:rPr>
        <w:t xml:space="preserve">iScience</w:t>
      </w:r>
      <w:r w:rsidDel="00000000" w:rsidR="00000000" w:rsidRPr="00000000">
        <w:rPr>
          <w:rtl w:val="0"/>
        </w:rPr>
        <w:t xml:space="preserve">, 28, 114186. https://doi.org/10.1016/j.isci.2025.114186 (PMID 41488365) — </w:t>
      </w:r>
      <w:r w:rsidDel="00000000" w:rsidR="00000000" w:rsidRPr="00000000">
        <w:rPr>
          <w:b w:val="1"/>
          <w:bCs w:val="1"/>
          <w:rtl w:val="0"/>
        </w:rPr>
        <w:t xml:space="preserve">PLK4 oncology context (v7.4)</w:t>
      </w:r>
      <w:r w:rsidDel="00000000" w:rsidR="00000000" w:rsidRPr="00000000">
        <w:rPr>
          <w:rtl w:val="0"/>
        </w:rPr>
      </w:r>
    </w:p>
    <w:p w:rsidR="00000000" w:rsidDel="00000000" w:rsidP="00000000" w:rsidRDefault="00000000" w:rsidRPr="00000000" w14:paraId="000002CD">
      <w:pPr>
        <w:numPr>
          <w:ilvl w:val="0"/>
          <w:numId w:val="9"/>
        </w:numPr>
        <w:ind w:left="720" w:hanging="360"/>
        <w:jc w:val="both"/>
        <w:rPr/>
      </w:pPr>
      <w:r w:rsidDel="00000000" w:rsidR="00000000" w:rsidRPr="00000000">
        <w:rPr>
          <w:rtl w:val="0"/>
        </w:rPr>
        <w:t xml:space="preserve">Parsyan, A., et al. (2025). Polo-like kinase 4 (PLK4) as a therapeutic target in breast cancer. </w:t>
      </w:r>
      <w:r w:rsidDel="00000000" w:rsidR="00000000" w:rsidRPr="00000000">
        <w:rPr>
          <w:i w:val="1"/>
          <w:iCs w:val="1"/>
          <w:rtl w:val="0"/>
        </w:rPr>
        <w:t xml:space="preserve">Carcinogenesis</w:t>
      </w:r>
      <w:r w:rsidDel="00000000" w:rsidR="00000000" w:rsidRPr="00000000">
        <w:rPr>
          <w:rtl w:val="0"/>
        </w:rPr>
        <w:t xml:space="preserve">, 46, bgaf067. https://doi.org/10.1093/carcin/bgaf067 (PMID 41092110) — </w:t>
      </w:r>
      <w:r w:rsidDel="00000000" w:rsidR="00000000" w:rsidRPr="00000000">
        <w:rPr>
          <w:b w:val="1"/>
          <w:bCs w:val="1"/>
          <w:rtl w:val="0"/>
        </w:rPr>
        <w:t xml:space="preserve">PLK4 target validation (v7.4)</w:t>
      </w:r>
      <w:r w:rsidDel="00000000" w:rsidR="00000000" w:rsidRPr="00000000">
        <w:rPr>
          <w:rtl w:val="0"/>
        </w:rPr>
      </w:r>
    </w:p>
    <w:p w:rsidR="00000000" w:rsidDel="00000000" w:rsidP="00000000" w:rsidRDefault="00000000" w:rsidRPr="00000000" w14:paraId="000002CE">
      <w:pPr>
        <w:numPr>
          <w:ilvl w:val="0"/>
          <w:numId w:val="9"/>
        </w:numPr>
        <w:ind w:left="720" w:hanging="360"/>
        <w:jc w:val="both"/>
        <w:rPr/>
      </w:pPr>
      <w:r w:rsidDel="00000000" w:rsidR="00000000" w:rsidRPr="00000000">
        <w:rPr>
          <w:rtl w:val="0"/>
        </w:rPr>
        <w:t xml:space="preserve">Jaiswal, A., Muntaqua, A., &amp; Ahmad, S. (2025). Polo-like kinase 4: A molecular culprit in skin cancer pathogenesis. </w:t>
      </w:r>
      <w:r w:rsidDel="00000000" w:rsidR="00000000" w:rsidRPr="00000000">
        <w:rPr>
          <w:i w:val="1"/>
          <w:iCs w:val="1"/>
          <w:rtl w:val="0"/>
        </w:rPr>
        <w:t xml:space="preserve">Cells</w:t>
      </w:r>
      <w:r w:rsidDel="00000000" w:rsidR="00000000" w:rsidRPr="00000000">
        <w:rPr>
          <w:rtl w:val="0"/>
        </w:rPr>
        <w:t xml:space="preserve">, 14, 1381. https://doi.org/10.3390/cells14171381 (PMID 40940791) — </w:t>
      </w:r>
      <w:r w:rsidDel="00000000" w:rsidR="00000000" w:rsidRPr="00000000">
        <w:rPr>
          <w:b w:val="1"/>
          <w:bCs w:val="1"/>
          <w:rtl w:val="0"/>
        </w:rPr>
        <w:t xml:space="preserve">PLK4 skin cancer (v7.4)</w:t>
      </w:r>
      <w:r w:rsidDel="00000000" w:rsidR="00000000" w:rsidRPr="00000000">
        <w:rPr>
          <w:rtl w:val="0"/>
        </w:rPr>
      </w:r>
    </w:p>
    <w:p w:rsidR="00000000" w:rsidDel="00000000" w:rsidP="00000000" w:rsidRDefault="00000000" w:rsidRPr="00000000" w14:paraId="000002CF">
      <w:pPr>
        <w:numPr>
          <w:ilvl w:val="0"/>
          <w:numId w:val="9"/>
        </w:numPr>
        <w:ind w:left="720" w:hanging="360"/>
        <w:jc w:val="both"/>
        <w:rPr/>
      </w:pPr>
      <w:r w:rsidDel="00000000" w:rsidR="00000000" w:rsidRPr="00000000">
        <w:rPr>
          <w:rtl w:val="0"/>
        </w:rPr>
        <w:t xml:space="preserve">Pan, X., Song, Y., Zhang, J., et al. (2026). CDT1 induces the formation of polyploid giant cancer cells and promotes centrosome amplification. </w:t>
      </w:r>
      <w:r w:rsidDel="00000000" w:rsidR="00000000" w:rsidRPr="00000000">
        <w:rPr>
          <w:i w:val="1"/>
          <w:iCs w:val="1"/>
          <w:rtl w:val="0"/>
        </w:rPr>
        <w:t xml:space="preserve">Cancer Letters</w:t>
      </w:r>
      <w:r w:rsidDel="00000000" w:rsidR="00000000" w:rsidRPr="00000000">
        <w:rPr>
          <w:rtl w:val="0"/>
        </w:rPr>
        <w:t xml:space="preserve">, 639, 218186. https://doi.org/10.1016/j.canlet.2025.218186 (PMID 41319860) — </w:t>
      </w:r>
      <w:r w:rsidDel="00000000" w:rsidR="00000000" w:rsidRPr="00000000">
        <w:rPr>
          <w:b w:val="1"/>
          <w:bCs w:val="1"/>
          <w:rtl w:val="0"/>
        </w:rPr>
        <w:t xml:space="preserve">PGCC transformation marker (v7.4)</w:t>
      </w:r>
      <w:r w:rsidDel="00000000" w:rsidR="00000000" w:rsidRPr="00000000">
        <w:rPr>
          <w:rtl w:val="0"/>
        </w:rPr>
      </w:r>
    </w:p>
    <w:p w:rsidR="00000000" w:rsidDel="00000000" w:rsidP="00000000" w:rsidRDefault="00000000" w:rsidRPr="00000000" w14:paraId="000002D0">
      <w:pPr>
        <w:numPr>
          <w:ilvl w:val="0"/>
          <w:numId w:val="9"/>
        </w:numPr>
        <w:ind w:left="720" w:hanging="360"/>
        <w:jc w:val="both"/>
        <w:rPr/>
      </w:pPr>
      <w:r w:rsidDel="00000000" w:rsidR="00000000" w:rsidRPr="00000000">
        <w:rPr>
          <w:rtl w:val="0"/>
        </w:rPr>
        <w:t xml:space="preserve">Hyle, J., Liu, Y., Fields, S., et al. (2026). Deciphering resistance mechanisms to auxin-inducible protein degradation in mammalian cells. </w:t>
      </w:r>
      <w:r w:rsidDel="00000000" w:rsidR="00000000" w:rsidRPr="00000000">
        <w:rPr>
          <w:i w:val="1"/>
          <w:iCs w:val="1"/>
          <w:rtl w:val="0"/>
        </w:rPr>
        <w:t xml:space="preserve">Journal of Biological Chemistry</w:t>
      </w:r>
      <w:r w:rsidDel="00000000" w:rsidR="00000000" w:rsidRPr="00000000">
        <w:rPr>
          <w:rtl w:val="0"/>
        </w:rPr>
        <w:t xml:space="preserve">, 302, 113232. https://doi.org/10.1016/j.jbc.2026.113232 (PMID 42248454) — </w:t>
      </w:r>
      <w:r w:rsidDel="00000000" w:rsidR="00000000" w:rsidRPr="00000000">
        <w:rPr>
          <w:b w:val="1"/>
          <w:bCs w:val="1"/>
          <w:rtl w:val="0"/>
        </w:rPr>
        <w:t xml:space="preserve">AID-resistance caveat (v7.4)</w:t>
      </w:r>
      <w:r w:rsidDel="00000000" w:rsidR="00000000" w:rsidRPr="00000000">
        <w:rPr>
          <w:rtl w:val="0"/>
        </w:rPr>
      </w:r>
    </w:p>
    <w:p w:rsidR="00000000" w:rsidDel="00000000" w:rsidP="00000000" w:rsidRDefault="00000000" w:rsidRPr="00000000" w14:paraId="000002D1">
      <w:pPr>
        <w:numPr>
          <w:ilvl w:val="0"/>
          <w:numId w:val="9"/>
        </w:numPr>
        <w:ind w:left="720" w:hanging="360"/>
        <w:jc w:val="both"/>
        <w:rPr/>
      </w:pPr>
      <w:r w:rsidDel="00000000" w:rsidR="00000000" w:rsidRPr="00000000">
        <w:rPr>
          <w:rtl w:val="0"/>
        </w:rPr>
        <w:t xml:space="preserve">Patzke, S., Sauer, M., Nair, A., et al. (2024). Structural basis for the bi-specificity of USP25 and USP28 inhibitors. </w:t>
      </w:r>
      <w:r w:rsidDel="00000000" w:rsidR="00000000" w:rsidRPr="00000000">
        <w:rPr>
          <w:i w:val="1"/>
          <w:iCs w:val="1"/>
          <w:rtl w:val="0"/>
        </w:rPr>
        <w:t xml:space="preserve">EMBO Reports</w:t>
      </w:r>
      <w:r w:rsidDel="00000000" w:rsidR="00000000" w:rsidRPr="00000000">
        <w:rPr>
          <w:rtl w:val="0"/>
        </w:rPr>
        <w:t xml:space="preserve">, 25, 2950–2973. https://doi.org/10.1038/s44319-024-00167-w (PMID 38816515) — </w:t>
      </w:r>
      <w:r w:rsidDel="00000000" w:rsidR="00000000" w:rsidRPr="00000000">
        <w:rPr>
          <w:b w:val="1"/>
          <w:bCs w:val="1"/>
          <w:rtl w:val="0"/>
        </w:rPr>
        <w:t xml:space="preserve">USP25/28 inhibitor structural basis (v7.4)</w:t>
      </w:r>
      <w:r w:rsidDel="00000000" w:rsidR="00000000" w:rsidRPr="00000000">
        <w:rPr>
          <w:rtl w:val="0"/>
        </w:rPr>
      </w:r>
    </w:p>
    <w:p w:rsidR="00000000" w:rsidDel="00000000" w:rsidP="00000000" w:rsidRDefault="00000000" w:rsidRPr="00000000" w14:paraId="000002D2">
      <w:pPr>
        <w:numPr>
          <w:ilvl w:val="0"/>
          <w:numId w:val="9"/>
        </w:numPr>
        <w:ind w:left="720" w:hanging="360"/>
        <w:jc w:val="both"/>
        <w:rPr/>
      </w:pPr>
      <w:r w:rsidDel="00000000" w:rsidR="00000000" w:rsidRPr="00000000">
        <w:rPr>
          <w:rtl w:val="0"/>
        </w:rPr>
        <w:t xml:space="preserve">Meyer-Gerards, C., &amp; Bazzi, H. (2025). Developmental and tissue-specific roles of mammalian centrosomes. </w:t>
      </w:r>
      <w:r w:rsidDel="00000000" w:rsidR="00000000" w:rsidRPr="00000000">
        <w:rPr>
          <w:i w:val="1"/>
          <w:iCs w:val="1"/>
          <w:rtl w:val="0"/>
        </w:rPr>
        <w:t xml:space="preserve">FEBS Journal</w:t>
      </w:r>
      <w:r w:rsidDel="00000000" w:rsidR="00000000" w:rsidRPr="00000000">
        <w:rPr>
          <w:rtl w:val="0"/>
        </w:rPr>
        <w:t xml:space="preserve">, 292, 709–726. https://doi.org/10.1111/febs.17212 (PMID 38935637) — </w:t>
      </w:r>
      <w:r w:rsidDel="00000000" w:rsidR="00000000" w:rsidRPr="00000000">
        <w:rPr>
          <w:b w:val="1"/>
          <w:bCs w:val="1"/>
          <w:rtl w:val="0"/>
        </w:rPr>
        <w:t xml:space="preserve">mammalian centrosome roles review (v7.4)</w:t>
      </w:r>
      <w:r w:rsidDel="00000000" w:rsidR="00000000" w:rsidRPr="00000000">
        <w:rPr>
          <w:rtl w:val="0"/>
        </w:rPr>
      </w:r>
    </w:p>
    <w:p w:rsidR="00000000" w:rsidDel="00000000" w:rsidP="00000000" w:rsidRDefault="00000000" w:rsidRPr="00000000" w14:paraId="000002D3">
      <w:pPr>
        <w:numPr>
          <w:ilvl w:val="0"/>
          <w:numId w:val="9"/>
        </w:numPr>
        <w:ind w:left="720" w:hanging="360"/>
        <w:jc w:val="both"/>
        <w:rPr/>
      </w:pPr>
      <w:r w:rsidDel="00000000" w:rsidR="00000000" w:rsidRPr="00000000">
        <w:rPr>
          <w:rtl w:val="0"/>
        </w:rPr>
        <w:t xml:space="preserve">Ozaki, T., Chang, Y., Yang, S., et al. (2025). Centriole biogenesis is seeded by CEP152–CEP63–PCNT aggregates propagating outside the centriole. </w:t>
      </w:r>
      <w:r w:rsidDel="00000000" w:rsidR="00000000" w:rsidRPr="00000000">
        <w:rPr>
          <w:i w:val="1"/>
          <w:iCs w:val="1"/>
          <w:rtl w:val="0"/>
        </w:rPr>
        <w:t xml:space="preserve">bioRxiv</w:t>
      </w:r>
      <w:r w:rsidDel="00000000" w:rsidR="00000000" w:rsidRPr="00000000">
        <w:rPr>
          <w:rtl w:val="0"/>
        </w:rPr>
        <w:t xml:space="preserve">. https://doi.org/10.1101/2025.06.26.661604 (PMID 40667363) — </w:t>
      </w:r>
      <w:r w:rsidDel="00000000" w:rsidR="00000000" w:rsidRPr="00000000">
        <w:rPr>
          <w:b w:val="1"/>
          <w:bCs w:val="1"/>
          <w:rtl w:val="0"/>
        </w:rPr>
        <w:t xml:space="preserve">aggregate-seeded de novo model; preprint, disclosed as such (v7.4)</w:t>
      </w:r>
      <w:r w:rsidDel="00000000" w:rsidR="00000000" w:rsidRPr="00000000">
        <w:rPr>
          <w:rtl w:val="0"/>
        </w:rPr>
      </w:r>
    </w:p>
    <w:p w:rsidR="00000000" w:rsidDel="00000000" w:rsidP="00000000" w:rsidRDefault="00000000" w:rsidRPr="00000000" w14:paraId="000002D4">
      <w:pPr>
        <w:numPr>
          <w:ilvl w:val="0"/>
          <w:numId w:val="9"/>
        </w:numPr>
        <w:ind w:left="720" w:hanging="360"/>
        <w:jc w:val="both"/>
        <w:rPr/>
      </w:pPr>
      <w:r w:rsidDel="00000000" w:rsidR="00000000" w:rsidRPr="00000000">
        <w:rPr>
          <w:rtl w:val="0"/>
        </w:rPr>
        <w:t xml:space="preserve">Silva, C., &amp; Cavadas, C. (2023). Primary cilia shape hallmarks of health and aging. </w:t>
      </w:r>
      <w:r w:rsidDel="00000000" w:rsidR="00000000" w:rsidRPr="00000000">
        <w:rPr>
          <w:i w:val="1"/>
          <w:iCs w:val="1"/>
          <w:rtl w:val="0"/>
        </w:rPr>
        <w:t xml:space="preserve">Trends in Molecular Medicine</w:t>
      </w:r>
      <w:r w:rsidDel="00000000" w:rsidR="00000000" w:rsidRPr="00000000">
        <w:rPr>
          <w:rtl w:val="0"/>
        </w:rPr>
        <w:t xml:space="preserve">, 29(7), 567–579. https://doi.org/10.1016/j.molmed.2023.04.001 (PMID 37137787) — </w:t>
      </w:r>
      <w:r w:rsidDel="00000000" w:rsidR="00000000" w:rsidRPr="00000000">
        <w:rPr>
          <w:b w:val="1"/>
          <w:bCs w:val="1"/>
          <w:rtl w:val="0"/>
        </w:rPr>
        <w:t xml:space="preserve">cilium–aging axis (v7.5)</w:t>
      </w:r>
      <w:r w:rsidDel="00000000" w:rsidR="00000000" w:rsidRPr="00000000">
        <w:rPr>
          <w:rtl w:val="0"/>
        </w:rPr>
      </w:r>
    </w:p>
    <w:p w:rsidR="00000000" w:rsidDel="00000000" w:rsidP="00000000" w:rsidRDefault="00000000" w:rsidRPr="00000000" w14:paraId="000002D5">
      <w:pPr>
        <w:numPr>
          <w:ilvl w:val="0"/>
          <w:numId w:val="9"/>
        </w:numPr>
        <w:ind w:left="720" w:hanging="360"/>
        <w:jc w:val="both"/>
        <w:rPr/>
      </w:pPr>
      <w:r w:rsidDel="00000000" w:rsidR="00000000" w:rsidRPr="00000000">
        <w:rPr>
          <w:rtl w:val="0"/>
        </w:rPr>
        <w:t xml:space="preserve">Rivagorda, M., Romeo-Guitart, D., Blanchet, F., et al. (2025). A primary cilia–autophagy axis in hippocampal neurons is essential to maintain cognitive resilience. </w:t>
      </w:r>
      <w:r w:rsidDel="00000000" w:rsidR="00000000" w:rsidRPr="00000000">
        <w:rPr>
          <w:i w:val="1"/>
          <w:iCs w:val="1"/>
          <w:rtl w:val="0"/>
        </w:rPr>
        <w:t xml:space="preserve">Nature Aging</w:t>
      </w:r>
      <w:r w:rsidDel="00000000" w:rsidR="00000000" w:rsidRPr="00000000">
        <w:rPr>
          <w:rtl w:val="0"/>
        </w:rPr>
        <w:t xml:space="preserve">, 5, 450–467. https://doi.org/10.1038/s43587-024-00791-0 (PMID 39984747) — </w:t>
      </w:r>
      <w:r w:rsidDel="00000000" w:rsidR="00000000" w:rsidRPr="00000000">
        <w:rPr>
          <w:b w:val="1"/>
          <w:bCs w:val="1"/>
          <w:rtl w:val="0"/>
        </w:rPr>
        <w:t xml:space="preserve">cilia–autophagy–brain aging (v7.5)</w:t>
      </w:r>
      <w:r w:rsidDel="00000000" w:rsidR="00000000" w:rsidRPr="00000000">
        <w:rPr>
          <w:rtl w:val="0"/>
        </w:rPr>
      </w:r>
    </w:p>
    <w:p w:rsidR="00000000" w:rsidDel="00000000" w:rsidP="00000000" w:rsidRDefault="00000000" w:rsidRPr="00000000" w14:paraId="000002D6">
      <w:pPr>
        <w:numPr>
          <w:ilvl w:val="0"/>
          <w:numId w:val="9"/>
        </w:numPr>
        <w:ind w:left="720" w:hanging="360"/>
        <w:jc w:val="both"/>
        <w:rPr/>
      </w:pPr>
      <w:r w:rsidDel="00000000" w:rsidR="00000000" w:rsidRPr="00000000">
        <w:rPr>
          <w:rtl w:val="0"/>
        </w:rPr>
        <w:t xml:space="preserve">Byrne, D. P., Clarke, C. J., Brownridge, P. J., et al. (2020). Use of the Polo-like kinase 4 (PLK4) inhibitor centrinone to investigate intracellular signalling networks using SILAC. </w:t>
      </w:r>
      <w:r w:rsidDel="00000000" w:rsidR="00000000" w:rsidRPr="00000000">
        <w:rPr>
          <w:i w:val="1"/>
          <w:iCs w:val="1"/>
          <w:rtl w:val="0"/>
        </w:rPr>
        <w:t xml:space="preserve">Biochemical Journal</w:t>
      </w:r>
      <w:r w:rsidDel="00000000" w:rsidR="00000000" w:rsidRPr="00000000">
        <w:rPr>
          <w:rtl w:val="0"/>
        </w:rPr>
        <w:t xml:space="preserve">, 477(14), 2451–2475. https://doi.org/10.1042/BCJ20200309 (PMID 32501498) — </w:t>
      </w:r>
      <w:r w:rsidDel="00000000" w:rsidR="00000000" w:rsidRPr="00000000">
        <w:rPr>
          <w:b w:val="1"/>
          <w:bCs w:val="1"/>
          <w:rtl w:val="0"/>
        </w:rPr>
        <w:t xml:space="preserve">SILAC + centrinone validated combination (v7.5)</w:t>
      </w:r>
      <w:r w:rsidDel="00000000" w:rsidR="00000000" w:rsidRPr="00000000">
        <w:rPr>
          <w:rtl w:val="0"/>
        </w:rPr>
      </w:r>
    </w:p>
    <w:p w:rsidR="00000000" w:rsidDel="00000000" w:rsidP="00000000" w:rsidRDefault="00000000" w:rsidRPr="00000000" w14:paraId="000002D7">
      <w:pPr>
        <w:numPr>
          <w:ilvl w:val="0"/>
          <w:numId w:val="9"/>
        </w:numPr>
        <w:ind w:left="720" w:hanging="360"/>
        <w:jc w:val="both"/>
        <w:rPr/>
      </w:pPr>
      <w:r w:rsidDel="00000000" w:rsidR="00000000" w:rsidRPr="00000000">
        <w:rPr>
          <w:rtl w:val="0"/>
        </w:rPr>
        <w:t xml:space="preserve">Camargo Ortega, G., &amp; Götz, M. (2022). Centrosome heterogeneity in stem cells regulates cell diversity. </w:t>
      </w:r>
      <w:r w:rsidDel="00000000" w:rsidR="00000000" w:rsidRPr="00000000">
        <w:rPr>
          <w:i w:val="1"/>
          <w:iCs w:val="1"/>
          <w:rtl w:val="0"/>
        </w:rPr>
        <w:t xml:space="preserve">Trends in Cell Biology</w:t>
      </w:r>
      <w:r w:rsidDel="00000000" w:rsidR="00000000" w:rsidRPr="00000000">
        <w:rPr>
          <w:rtl w:val="0"/>
        </w:rPr>
        <w:t xml:space="preserve">, 32(9), 745–755. https://doi.org/10.1016/j.tcb.2022.03.004 (PMID 35750615) — </w:t>
      </w:r>
      <w:r w:rsidDel="00000000" w:rsidR="00000000" w:rsidRPr="00000000">
        <w:rPr>
          <w:b w:val="1"/>
          <w:bCs w:val="1"/>
          <w:rtl w:val="0"/>
        </w:rPr>
        <w:t xml:space="preserve">centrosome heterogeneity consensus (v7.6)</w:t>
      </w:r>
      <w:r w:rsidDel="00000000" w:rsidR="00000000" w:rsidRPr="00000000">
        <w:rPr>
          <w:rtl w:val="0"/>
        </w:rPr>
      </w:r>
    </w:p>
    <w:p w:rsidR="00000000" w:rsidDel="00000000" w:rsidP="00000000" w:rsidRDefault="00000000" w:rsidRPr="00000000" w14:paraId="000002D8">
      <w:pPr>
        <w:numPr>
          <w:ilvl w:val="0"/>
          <w:numId w:val="9"/>
        </w:numPr>
        <w:ind w:left="720" w:hanging="360"/>
        <w:jc w:val="both"/>
        <w:rPr/>
      </w:pPr>
      <w:r w:rsidDel="00000000" w:rsidR="00000000" w:rsidRPr="00000000">
        <w:rPr>
          <w:rtl w:val="0"/>
        </w:rPr>
        <w:t xml:space="preserve">Bolkent, Ş. (2024). Cellular and molecular mechanisms of asymmetric stem cell division in tissue homeostasis. </w:t>
      </w:r>
      <w:r w:rsidDel="00000000" w:rsidR="00000000" w:rsidRPr="00000000">
        <w:rPr>
          <w:i w:val="1"/>
          <w:iCs w:val="1"/>
          <w:rtl w:val="0"/>
        </w:rPr>
        <w:t xml:space="preserve">Genes to Cells</w:t>
      </w:r>
      <w:r w:rsidDel="00000000" w:rsidR="00000000" w:rsidRPr="00000000">
        <w:rPr>
          <w:rtl w:val="0"/>
        </w:rPr>
        <w:t xml:space="preserve">, 29(12), 1000–1015. https://doi.org/10.1111/gtc.13172 (PMID 39379096) — </w:t>
      </w:r>
      <w:r w:rsidDel="00000000" w:rsidR="00000000" w:rsidRPr="00000000">
        <w:rPr>
          <w:b w:val="1"/>
          <w:bCs w:val="1"/>
          <w:rtl w:val="0"/>
        </w:rPr>
        <w:t xml:space="preserve">asymmetric division mechanisms (v7.6)</w:t>
      </w:r>
      <w:r w:rsidDel="00000000" w:rsidR="00000000" w:rsidRPr="00000000">
        <w:rPr>
          <w:rtl w:val="0"/>
        </w:rPr>
      </w:r>
    </w:p>
    <w:p w:rsidR="00000000" w:rsidDel="00000000" w:rsidP="00000000" w:rsidRDefault="00000000" w:rsidRPr="00000000" w14:paraId="000002D9">
      <w:pPr>
        <w:numPr>
          <w:ilvl w:val="0"/>
          <w:numId w:val="9"/>
        </w:numPr>
        <w:ind w:left="720" w:hanging="360"/>
        <w:jc w:val="both"/>
        <w:rPr/>
      </w:pPr>
      <w:r w:rsidDel="00000000" w:rsidR="00000000" w:rsidRPr="00000000">
        <w:rPr>
          <w:rtl w:val="0"/>
        </w:rPr>
        <w:t xml:space="preserve">Chen, K., Chuang, Y.-C., &amp; Lin, H. (2026). Tubulin glutamylation: A key regulator of flagella, cilia, centrosomes, and disease pathways. </w:t>
      </w:r>
      <w:r w:rsidDel="00000000" w:rsidR="00000000" w:rsidRPr="00000000">
        <w:rPr>
          <w:i w:val="1"/>
          <w:iCs w:val="1"/>
          <w:rtl w:val="0"/>
        </w:rPr>
        <w:t xml:space="preserve">Journal of Biomedical Science</w:t>
      </w:r>
      <w:r w:rsidDel="00000000" w:rsidR="00000000" w:rsidRPr="00000000">
        <w:rPr>
          <w:rtl w:val="0"/>
        </w:rPr>
        <w:t xml:space="preserve">, 33. https://doi.org/10.1186/s12929-026-01244-z (PMID 42083040) — </w:t>
      </w:r>
      <w:r w:rsidDel="00000000" w:rsidR="00000000" w:rsidRPr="00000000">
        <w:rPr>
          <w:b w:val="1"/>
          <w:bCs w:val="1"/>
          <w:rtl w:val="0"/>
        </w:rPr>
        <w:t xml:space="preserve">tubulin code on centrioles (v7.6)</w:t>
      </w:r>
      <w:r w:rsidDel="00000000" w:rsidR="00000000" w:rsidRPr="00000000">
        <w:rPr>
          <w:rtl w:val="0"/>
        </w:rPr>
      </w:r>
    </w:p>
    <w:p w:rsidR="00000000" w:rsidDel="00000000" w:rsidP="00000000" w:rsidRDefault="00000000" w:rsidRPr="00000000" w14:paraId="000002DA">
      <w:pPr>
        <w:numPr>
          <w:ilvl w:val="0"/>
          <w:numId w:val="9"/>
        </w:numPr>
        <w:ind w:left="720" w:hanging="360"/>
        <w:jc w:val="both"/>
        <w:rPr/>
      </w:pPr>
      <w:r w:rsidDel="00000000" w:rsidR="00000000" w:rsidRPr="00000000">
        <w:rPr>
          <w:rtl w:val="0"/>
        </w:rPr>
        <w:t xml:space="preserve">Ran, J., &amp; Zhou, J. (2025). Post-translational modifications in cilia and ciliopathies. </w:t>
      </w:r>
      <w:r w:rsidDel="00000000" w:rsidR="00000000" w:rsidRPr="00000000">
        <w:rPr>
          <w:i w:val="1"/>
          <w:iCs w:val="1"/>
          <w:rtl w:val="0"/>
        </w:rPr>
        <w:t xml:space="preserve">Advanced Science</w:t>
      </w:r>
      <w:r w:rsidDel="00000000" w:rsidR="00000000" w:rsidRPr="00000000">
        <w:rPr>
          <w:rtl w:val="0"/>
        </w:rPr>
        <w:t xml:space="preserve">, 12. https://doi.org/10.1002/advs.202416562 (PMID 40433930) — </w:t>
      </w:r>
      <w:r w:rsidDel="00000000" w:rsidR="00000000" w:rsidRPr="00000000">
        <w:rPr>
          <w:b w:val="1"/>
          <w:bCs w:val="1"/>
          <w:rtl w:val="0"/>
        </w:rPr>
        <w:t xml:space="preserve">irreversible ciliary PTMs (v7.6)</w:t>
      </w:r>
      <w:r w:rsidDel="00000000" w:rsidR="00000000" w:rsidRPr="00000000">
        <w:rPr>
          <w:rtl w:val="0"/>
        </w:rPr>
      </w:r>
    </w:p>
    <w:p w:rsidR="00000000" w:rsidDel="00000000" w:rsidP="00000000" w:rsidRDefault="00000000" w:rsidRPr="00000000" w14:paraId="000002DB">
      <w:pPr>
        <w:numPr>
          <w:ilvl w:val="0"/>
          <w:numId w:val="9"/>
        </w:numPr>
        <w:ind w:left="720" w:hanging="360"/>
        <w:jc w:val="both"/>
        <w:rPr/>
      </w:pPr>
      <w:r w:rsidDel="00000000" w:rsidR="00000000" w:rsidRPr="00000000">
        <w:rPr>
          <w:rtl w:val="0"/>
        </w:rPr>
        <w:t xml:space="preserve">Nigg, E. A., &amp; Holland, A. J. (2018). Once and only once: Mechanisms of centriole duplication and their deregulation in disease. </w:t>
      </w:r>
      <w:r w:rsidDel="00000000" w:rsidR="00000000" w:rsidRPr="00000000">
        <w:rPr>
          <w:i w:val="1"/>
          <w:iCs w:val="1"/>
          <w:rtl w:val="0"/>
        </w:rPr>
        <w:t xml:space="preserve">Nature Reviews Molecular Cell Biology</w:t>
      </w:r>
      <w:r w:rsidDel="00000000" w:rsidR="00000000" w:rsidRPr="00000000">
        <w:rPr>
          <w:rtl w:val="0"/>
        </w:rPr>
        <w:t xml:space="preserve">, 19(5), 297–312. https://doi.org/10.1038/nrm.2017.127 (PMID 29363672) — </w:t>
      </w:r>
      <w:r w:rsidDel="00000000" w:rsidR="00000000" w:rsidRPr="00000000">
        <w:rPr>
          <w:b w:val="1"/>
          <w:bCs w:val="1"/>
          <w:rtl w:val="0"/>
        </w:rPr>
        <w:t xml:space="preserve">canonical duplication biology (v7.7)</w:t>
      </w:r>
      <w:r w:rsidDel="00000000" w:rsidR="00000000" w:rsidRPr="00000000">
        <w:rPr>
          <w:rtl w:val="0"/>
        </w:rPr>
      </w:r>
    </w:p>
    <w:p w:rsidR="00000000" w:rsidDel="00000000" w:rsidP="00000000" w:rsidRDefault="00000000" w:rsidRPr="00000000" w14:paraId="000002DC">
      <w:pPr>
        <w:numPr>
          <w:ilvl w:val="0"/>
          <w:numId w:val="9"/>
        </w:numPr>
        <w:ind w:left="720" w:hanging="360"/>
        <w:jc w:val="both"/>
        <w:rPr/>
      </w:pPr>
      <w:r w:rsidDel="00000000" w:rsidR="00000000" w:rsidRPr="00000000">
        <w:rPr>
          <w:rtl w:val="0"/>
        </w:rPr>
        <w:t xml:space="preserve">Wang, L., Failler, M., Fu, W., &amp; Dynlacht, B. D. (2018). A distal centriolar protein network controls organelle maturation and asymmetry. </w:t>
      </w:r>
      <w:r w:rsidDel="00000000" w:rsidR="00000000" w:rsidRPr="00000000">
        <w:rPr>
          <w:i w:val="1"/>
          <w:iCs w:val="1"/>
          <w:rtl w:val="0"/>
        </w:rPr>
        <w:t xml:space="preserve">Nature Communications</w:t>
      </w:r>
      <w:r w:rsidDel="00000000" w:rsidR="00000000" w:rsidRPr="00000000">
        <w:rPr>
          <w:rtl w:val="0"/>
        </w:rPr>
        <w:t xml:space="preserve">, 9, 3938. https://doi.org/10.1038/s41467-018-06286-y (PMID 30258116) — </w:t>
      </w:r>
      <w:r w:rsidDel="00000000" w:rsidR="00000000" w:rsidRPr="00000000">
        <w:rPr>
          <w:b w:val="1"/>
          <w:bCs w:val="1"/>
          <w:rtl w:val="0"/>
        </w:rPr>
        <w:t xml:space="preserve">distal maturation network (v7.7)</w:t>
      </w:r>
      <w:r w:rsidDel="00000000" w:rsidR="00000000" w:rsidRPr="00000000">
        <w:rPr>
          <w:rtl w:val="0"/>
        </w:rPr>
      </w:r>
    </w:p>
    <w:p w:rsidR="00000000" w:rsidDel="00000000" w:rsidP="00000000" w:rsidRDefault="00000000" w:rsidRPr="00000000" w14:paraId="000002DD">
      <w:pPr>
        <w:numPr>
          <w:ilvl w:val="0"/>
          <w:numId w:val="9"/>
        </w:numPr>
        <w:ind w:left="720" w:hanging="360"/>
        <w:jc w:val="both"/>
        <w:rPr/>
      </w:pPr>
      <w:r w:rsidDel="00000000" w:rsidR="00000000" w:rsidRPr="00000000">
        <w:rPr>
          <w:rtl w:val="0"/>
        </w:rPr>
        <w:t xml:space="preserve">Pimenta-Marques, A., Perestrelo, T., Reis-Rodrigues, P., et al. (2024). Ana1/CEP295 is an essential player in the centrosome maintenance program regulated by Polo kinase and the PCM. </w:t>
      </w:r>
      <w:r w:rsidDel="00000000" w:rsidR="00000000" w:rsidRPr="00000000">
        <w:rPr>
          <w:i w:val="1"/>
          <w:iCs w:val="1"/>
          <w:rtl w:val="0"/>
        </w:rPr>
        <w:t xml:space="preserve">EMBO Reports</w:t>
      </w:r>
      <w:r w:rsidDel="00000000" w:rsidR="00000000" w:rsidRPr="00000000">
        <w:rPr>
          <w:rtl w:val="0"/>
        </w:rPr>
        <w:t xml:space="preserve">, 25, 199–226. https://doi.org/10.1038/s44319-023-00020-6 (PMID 38200359) — </w:t>
      </w:r>
      <w:r w:rsidDel="00000000" w:rsidR="00000000" w:rsidRPr="00000000">
        <w:rPr>
          <w:b w:val="1"/>
          <w:bCs w:val="1"/>
          <w:rtl w:val="0"/>
        </w:rPr>
        <w:t xml:space="preserve">centriole maturation factor CEP295/Ana1 (v7.7)</w:t>
      </w:r>
      <w:r w:rsidDel="00000000" w:rsidR="00000000" w:rsidRPr="00000000">
        <w:rPr>
          <w:rtl w:val="0"/>
        </w:rPr>
      </w:r>
    </w:p>
    <w:p w:rsidR="00000000" w:rsidDel="00000000" w:rsidP="00000000" w:rsidRDefault="00000000" w:rsidRPr="00000000" w14:paraId="000002DE">
      <w:pPr>
        <w:numPr>
          <w:ilvl w:val="0"/>
          <w:numId w:val="9"/>
        </w:numPr>
        <w:ind w:left="720" w:hanging="360"/>
        <w:jc w:val="both"/>
        <w:rPr/>
      </w:pPr>
      <w:r w:rsidDel="00000000" w:rsidR="00000000" w:rsidRPr="00000000">
        <w:rPr>
          <w:rtl w:val="0"/>
        </w:rPr>
        <w:t xml:space="preserve">Hong, D., Chuang, Y.-C., Yang, F., et al. (2025). Glutamylation of centrosomes ensures their function by recruiting microtubule nucleation factors. </w:t>
      </w:r>
      <w:r w:rsidDel="00000000" w:rsidR="00000000" w:rsidRPr="00000000">
        <w:rPr>
          <w:i w:val="1"/>
          <w:iCs w:val="1"/>
          <w:rtl w:val="0"/>
        </w:rPr>
        <w:t xml:space="preserve">The EMBO Journal</w:t>
      </w:r>
      <w:r w:rsidDel="00000000" w:rsidR="00000000" w:rsidRPr="00000000">
        <w:rPr>
          <w:rtl w:val="0"/>
        </w:rPr>
        <w:t xml:space="preserve">, 44. https://doi.org/10.1038/s44318-025-00435-y (PMID 40229407) — </w:t>
      </w:r>
      <w:r w:rsidDel="00000000" w:rsidR="00000000" w:rsidRPr="00000000">
        <w:rPr>
          <w:b w:val="1"/>
          <w:bCs w:val="1"/>
          <w:rtl w:val="0"/>
        </w:rPr>
        <w:t xml:space="preserve">PolyE recruits MT-nucleation (v7.7)</w:t>
      </w:r>
      <w:r w:rsidDel="00000000" w:rsidR="00000000" w:rsidRPr="00000000">
        <w:rPr>
          <w:rtl w:val="0"/>
        </w:rPr>
      </w:r>
    </w:p>
    <w:p w:rsidR="00000000" w:rsidDel="00000000" w:rsidP="00000000" w:rsidRDefault="00000000" w:rsidRPr="00000000" w14:paraId="000002DF">
      <w:pPr>
        <w:numPr>
          <w:ilvl w:val="0"/>
          <w:numId w:val="9"/>
        </w:numPr>
        <w:ind w:left="720" w:hanging="360"/>
        <w:jc w:val="both"/>
        <w:rPr/>
      </w:pPr>
      <w:r w:rsidDel="00000000" w:rsidR="00000000" w:rsidRPr="00000000">
        <w:rPr>
          <w:rtl w:val="0"/>
        </w:rPr>
        <w:t xml:space="preserve">Kiermaier, E., Stötzel, M., Schapfl, M., &amp; Villunger, A. (2024). Amplified centrosomes — more than just a threat. </w:t>
      </w:r>
      <w:r w:rsidDel="00000000" w:rsidR="00000000" w:rsidRPr="00000000">
        <w:rPr>
          <w:i w:val="1"/>
          <w:iCs w:val="1"/>
          <w:rtl w:val="0"/>
        </w:rPr>
        <w:t xml:space="preserve">EMBO Reports</w:t>
      </w:r>
      <w:r w:rsidDel="00000000" w:rsidR="00000000" w:rsidRPr="00000000">
        <w:rPr>
          <w:rtl w:val="0"/>
        </w:rPr>
        <w:t xml:space="preserve">, 25, 2989–2999. https://doi.org/10.1038/s44319-024-00260-0 (PMID 39285247) — </w:t>
      </w:r>
      <w:r w:rsidDel="00000000" w:rsidR="00000000" w:rsidRPr="00000000">
        <w:rPr>
          <w:b w:val="1"/>
          <w:bCs w:val="1"/>
          <w:rtl w:val="0"/>
        </w:rPr>
        <w:t xml:space="preserve">supernumerary centriole biology (v7.7)</w:t>
      </w:r>
      <w:r w:rsidDel="00000000" w:rsidR="00000000" w:rsidRPr="00000000">
        <w:rPr>
          <w:rtl w:val="0"/>
        </w:rPr>
      </w:r>
    </w:p>
    <w:p w:rsidR="00000000" w:rsidDel="00000000" w:rsidP="00000000" w:rsidRDefault="00000000" w:rsidRPr="00000000" w14:paraId="000002E0">
      <w:pPr>
        <w:numPr>
          <w:ilvl w:val="0"/>
          <w:numId w:val="9"/>
        </w:numPr>
        <w:ind w:left="720" w:hanging="360"/>
        <w:jc w:val="both"/>
        <w:rPr/>
      </w:pPr>
      <w:r w:rsidDel="00000000" w:rsidR="00000000" w:rsidRPr="00000000">
        <w:rPr>
          <w:rtl w:val="0"/>
        </w:rPr>
        <w:t xml:space="preserve">Mennie, A. K., Dhital, B., &amp; Ly, P. (2026). Impact of chromosomal instability and aneuploidy in cancer development. </w:t>
      </w:r>
      <w:r w:rsidDel="00000000" w:rsidR="00000000" w:rsidRPr="00000000">
        <w:rPr>
          <w:i w:val="1"/>
          <w:iCs w:val="1"/>
          <w:rtl w:val="0"/>
        </w:rPr>
        <w:t xml:space="preserve">Annual Review of Cancer Biology</w:t>
      </w:r>
      <w:r w:rsidDel="00000000" w:rsidR="00000000" w:rsidRPr="00000000">
        <w:rPr>
          <w:rtl w:val="0"/>
        </w:rPr>
        <w:t xml:space="preserve">, 10. https://doi.org/10.1146/annurev-cancerbio-071124-101613 (PMID 42137044) — </w:t>
      </w:r>
      <w:r w:rsidDel="00000000" w:rsidR="00000000" w:rsidRPr="00000000">
        <w:rPr>
          <w:b w:val="1"/>
          <w:bCs w:val="1"/>
          <w:rtl w:val="0"/>
        </w:rPr>
        <w:t xml:space="preserve">CIN/aneuploidy context (v7.8)</w:t>
      </w:r>
      <w:r w:rsidDel="00000000" w:rsidR="00000000" w:rsidRPr="00000000">
        <w:rPr>
          <w:rtl w:val="0"/>
        </w:rPr>
      </w:r>
    </w:p>
    <w:p w:rsidR="00000000" w:rsidDel="00000000" w:rsidP="00000000" w:rsidRDefault="00000000" w:rsidRPr="00000000" w14:paraId="000002E1">
      <w:pPr>
        <w:numPr>
          <w:ilvl w:val="0"/>
          <w:numId w:val="9"/>
        </w:numPr>
        <w:ind w:left="720" w:hanging="360"/>
        <w:jc w:val="both"/>
        <w:rPr/>
      </w:pPr>
      <w:r w:rsidDel="00000000" w:rsidR="00000000" w:rsidRPr="00000000">
        <w:rPr>
          <w:rtl w:val="0"/>
        </w:rPr>
        <w:t xml:space="preserve">Lambrus, B. G., et al. (2016). A USP28–53BP1–p53–p21 signaling axis arrests growth after centrosome loss or prolonged mitosis. </w:t>
      </w:r>
      <w:r w:rsidDel="00000000" w:rsidR="00000000" w:rsidRPr="00000000">
        <w:rPr>
          <w:i w:val="1"/>
          <w:iCs w:val="1"/>
          <w:rtl w:val="0"/>
        </w:rPr>
        <w:t xml:space="preserve">Journal of Cell Biology</w:t>
      </w:r>
      <w:r w:rsidDel="00000000" w:rsidR="00000000" w:rsidRPr="00000000">
        <w:rPr>
          <w:rtl w:val="0"/>
        </w:rPr>
        <w:t xml:space="preserve">, 214(2), 143–153. https://doi.org/10.1083/jcb.201604054 (PMID 27432896) — </w:t>
      </w:r>
      <w:r w:rsidDel="00000000" w:rsidR="00000000" w:rsidRPr="00000000">
        <w:rPr>
          <w:b w:val="1"/>
          <w:bCs w:val="1"/>
          <w:rtl w:val="0"/>
        </w:rPr>
        <w:t xml:space="preserve">surveillance axis primary source (v7.9; year 2016, not 2015)</w:t>
      </w:r>
      <w:r w:rsidDel="00000000" w:rsidR="00000000" w:rsidRPr="00000000">
        <w:rPr>
          <w:rtl w:val="0"/>
        </w:rPr>
      </w:r>
    </w:p>
    <w:p w:rsidR="00000000" w:rsidDel="00000000" w:rsidP="00000000" w:rsidRDefault="00000000" w:rsidRPr="00000000" w14:paraId="000002E2">
      <w:pPr>
        <w:numPr>
          <w:ilvl w:val="0"/>
          <w:numId w:val="9"/>
        </w:numPr>
        <w:ind w:left="720" w:hanging="360"/>
        <w:jc w:val="both"/>
        <w:rPr/>
      </w:pPr>
      <w:r w:rsidDel="00000000" w:rsidR="00000000" w:rsidRPr="00000000">
        <w:rPr>
          <w:rtl w:val="0"/>
        </w:rPr>
        <w:t xml:space="preserve">Mackenzie, K. J., Carroll, P., Martin, C.-A., et al. (2017). cGAS surveillance of micronuclei links genome instability to innate immunity. </w:t>
      </w:r>
      <w:r w:rsidDel="00000000" w:rsidR="00000000" w:rsidRPr="00000000">
        <w:rPr>
          <w:i w:val="1"/>
          <w:iCs w:val="1"/>
          <w:rtl w:val="0"/>
        </w:rPr>
        <w:t xml:space="preserve">Nature</w:t>
      </w:r>
      <w:r w:rsidDel="00000000" w:rsidR="00000000" w:rsidRPr="00000000">
        <w:rPr>
          <w:rtl w:val="0"/>
        </w:rPr>
        <w:t xml:space="preserve">, 548(7668), 461–465. (PMID 28738408) — </w:t>
      </w:r>
      <w:r w:rsidDel="00000000" w:rsidR="00000000" w:rsidRPr="00000000">
        <w:rPr>
          <w:b w:val="1"/>
          <w:bCs w:val="1"/>
          <w:rtl w:val="0"/>
        </w:rPr>
        <w:t xml:space="preserve">micronucleus–cGAS–STING (v7.9)</w:t>
      </w:r>
      <w:r w:rsidDel="00000000" w:rsidR="00000000" w:rsidRPr="00000000">
        <w:rPr>
          <w:rtl w:val="0"/>
        </w:rPr>
      </w:r>
    </w:p>
    <w:p w:rsidR="00000000" w:rsidDel="00000000" w:rsidP="00000000" w:rsidRDefault="00000000" w:rsidRPr="00000000" w14:paraId="000002E3">
      <w:pPr>
        <w:numPr>
          <w:ilvl w:val="0"/>
          <w:numId w:val="9"/>
        </w:numPr>
        <w:ind w:left="720" w:hanging="360"/>
        <w:jc w:val="both"/>
        <w:rPr/>
      </w:pPr>
      <w:r w:rsidDel="00000000" w:rsidR="00000000" w:rsidRPr="00000000">
        <w:rPr>
          <w:rtl w:val="0"/>
        </w:rPr>
        <w:t xml:space="preserve">Dou, Z., Ghosh, K., Vizioli, M. G., et al. (2017). Cytoplasmic chromatin triggers inflammation in senescence and cancer. </w:t>
      </w:r>
      <w:r w:rsidDel="00000000" w:rsidR="00000000" w:rsidRPr="00000000">
        <w:rPr>
          <w:i w:val="1"/>
          <w:iCs w:val="1"/>
          <w:rtl w:val="0"/>
        </w:rPr>
        <w:t xml:space="preserve">Nature</w:t>
      </w:r>
      <w:r w:rsidDel="00000000" w:rsidR="00000000" w:rsidRPr="00000000">
        <w:rPr>
          <w:rtl w:val="0"/>
        </w:rPr>
        <w:t xml:space="preserve">, 550(7676), 402–406. (PMID 28976970) — </w:t>
      </w:r>
      <w:r w:rsidDel="00000000" w:rsidR="00000000" w:rsidRPr="00000000">
        <w:rPr>
          <w:b w:val="1"/>
          <w:bCs w:val="1"/>
          <w:rtl w:val="0"/>
        </w:rPr>
        <w:t xml:space="preserve">chromatin–cGAS senescence (v7.9)</w:t>
      </w:r>
      <w:r w:rsidDel="00000000" w:rsidR="00000000" w:rsidRPr="00000000">
        <w:rPr>
          <w:rtl w:val="0"/>
        </w:rPr>
      </w:r>
    </w:p>
    <w:p w:rsidR="00000000" w:rsidDel="00000000" w:rsidP="00000000" w:rsidRDefault="00000000" w:rsidRPr="00000000" w14:paraId="000002E4">
      <w:pPr>
        <w:numPr>
          <w:ilvl w:val="0"/>
          <w:numId w:val="9"/>
        </w:numPr>
        <w:ind w:left="720" w:hanging="360"/>
        <w:jc w:val="both"/>
        <w:rPr/>
      </w:pPr>
      <w:r w:rsidDel="00000000" w:rsidR="00000000" w:rsidRPr="00000000">
        <w:rPr>
          <w:rtl w:val="0"/>
        </w:rPr>
        <w:t xml:space="preserve">Kochanski, R. S., &amp; Borisy, G. G. (1990). Mode of centriole duplication and distribution. </w:t>
      </w:r>
      <w:r w:rsidDel="00000000" w:rsidR="00000000" w:rsidRPr="00000000">
        <w:rPr>
          <w:i w:val="1"/>
          <w:iCs w:val="1"/>
          <w:rtl w:val="0"/>
        </w:rPr>
        <w:t xml:space="preserve">Journal of Cell Biology</w:t>
      </w:r>
      <w:r w:rsidDel="00000000" w:rsidR="00000000" w:rsidRPr="00000000">
        <w:rPr>
          <w:rtl w:val="0"/>
        </w:rPr>
        <w:t xml:space="preserve">, 110(4), 1599–1605. (PMID 2335566) — </w:t>
      </w:r>
      <w:r w:rsidDel="00000000" w:rsidR="00000000" w:rsidRPr="00000000">
        <w:rPr>
          <w:b w:val="1"/>
          <w:bCs w:val="1"/>
          <w:rtl w:val="0"/>
        </w:rPr>
        <w:t xml:space="preserve">semi-conservative duplication, cited in Red Thread; full reference added in v8.0</w:t>
      </w:r>
      <w:r w:rsidDel="00000000" w:rsidR="00000000" w:rsidRPr="00000000">
        <w:rPr>
          <w:rtl w:val="0"/>
        </w:rPr>
      </w:r>
    </w:p>
    <w:p w:rsidR="00000000" w:rsidDel="00000000" w:rsidP="00000000" w:rsidRDefault="00000000" w:rsidRPr="00000000" w14:paraId="000002E5">
      <w:pPr>
        <w:numPr>
          <w:ilvl w:val="0"/>
          <w:numId w:val="9"/>
        </w:numPr>
        <w:ind w:left="720" w:hanging="360"/>
        <w:jc w:val="both"/>
        <w:rPr/>
      </w:pPr>
      <w:r w:rsidDel="00000000" w:rsidR="00000000" w:rsidRPr="00000000">
        <w:rPr>
          <w:rtl w:val="0"/>
        </w:rPr>
        <w:t xml:space="preserve">Evans, L. T., Anglen, T., Scott, P., et al. (2021). ANKRD26 recruits PIDD1 to centriolar distal appendages to activate the PIDDosome following centrosome amplification. </w:t>
      </w:r>
      <w:r w:rsidDel="00000000" w:rsidR="00000000" w:rsidRPr="00000000">
        <w:rPr>
          <w:i w:val="1"/>
          <w:iCs w:val="1"/>
          <w:rtl w:val="0"/>
        </w:rPr>
        <w:t xml:space="preserve">The EMBO Journal</w:t>
      </w:r>
      <w:r w:rsidDel="00000000" w:rsidR="00000000" w:rsidRPr="00000000">
        <w:rPr>
          <w:rtl w:val="0"/>
        </w:rPr>
        <w:t xml:space="preserve">, 40, e106110. (PMID 33350495) — </w:t>
      </w:r>
      <w:r w:rsidDel="00000000" w:rsidR="00000000" w:rsidRPr="00000000">
        <w:rPr>
          <w:b w:val="1"/>
          <w:bCs w:val="1"/>
          <w:rtl w:val="0"/>
        </w:rPr>
        <w:t xml:space="preserve">ANKRD26–PIDD1 recruitment; basis of the PIDDosome bypass arm (v8.0)</w:t>
      </w:r>
      <w:r w:rsidDel="00000000" w:rsidR="00000000" w:rsidRPr="00000000">
        <w:rPr>
          <w:rtl w:val="0"/>
        </w:rPr>
      </w:r>
    </w:p>
    <w:p w:rsidR="00000000" w:rsidDel="00000000" w:rsidP="00000000" w:rsidRDefault="00000000" w:rsidRPr="00000000" w14:paraId="000002E6">
      <w:pPr>
        <w:numPr>
          <w:ilvl w:val="0"/>
          <w:numId w:val="9"/>
        </w:numPr>
        <w:ind w:left="720" w:hanging="360"/>
        <w:jc w:val="both"/>
        <w:rPr/>
      </w:pPr>
      <w:r w:rsidDel="00000000" w:rsidR="00000000" w:rsidRPr="00000000">
        <w:rPr>
          <w:rtl w:val="0"/>
        </w:rPr>
        <w:t xml:space="preserve">Bettencourt-Dias, M., &amp; Glover, D. M. (2007). Centrosome biogenesis and function: Centrosomics brings new understanding. </w:t>
      </w:r>
      <w:r w:rsidDel="00000000" w:rsidR="00000000" w:rsidRPr="00000000">
        <w:rPr>
          <w:i w:val="1"/>
          <w:iCs w:val="1"/>
          <w:rtl w:val="0"/>
        </w:rPr>
        <w:t xml:space="preserve">Nature Reviews Molecular Cell Biology</w:t>
      </w:r>
      <w:r w:rsidDel="00000000" w:rsidR="00000000" w:rsidRPr="00000000">
        <w:rPr>
          <w:rtl w:val="0"/>
        </w:rPr>
        <w:t xml:space="preserve">, 8(6), 451–463. (PMID 17505520) — </w:t>
      </w:r>
      <w:r w:rsidDel="00000000" w:rsidR="00000000" w:rsidRPr="00000000">
        <w:rPr>
          <w:b w:val="1"/>
          <w:bCs w:val="1"/>
          <w:rtl w:val="0"/>
        </w:rPr>
        <w:t xml:space="preserve">canonical centrosome review (v8.1)</w:t>
      </w:r>
      <w:r w:rsidDel="00000000" w:rsidR="00000000" w:rsidRPr="00000000">
        <w:rPr>
          <w:rtl w:val="0"/>
        </w:rPr>
      </w:r>
    </w:p>
    <w:p w:rsidR="00000000" w:rsidDel="00000000" w:rsidP="00000000" w:rsidRDefault="00000000" w:rsidRPr="00000000" w14:paraId="000002E7">
      <w:pPr>
        <w:numPr>
          <w:ilvl w:val="0"/>
          <w:numId w:val="9"/>
        </w:numPr>
        <w:ind w:left="720" w:hanging="360"/>
        <w:jc w:val="both"/>
        <w:rPr/>
      </w:pPr>
      <w:r w:rsidDel="00000000" w:rsidR="00000000" w:rsidRPr="00000000">
        <w:rPr>
          <w:rtl w:val="0"/>
        </w:rPr>
        <w:t xml:space="preserve">Winey, M., &amp; O’Toole, E. (2014). Centriole structure. </w:t>
      </w:r>
      <w:r w:rsidDel="00000000" w:rsidR="00000000" w:rsidRPr="00000000">
        <w:rPr>
          <w:i w:val="1"/>
          <w:iCs w:val="1"/>
          <w:rtl w:val="0"/>
        </w:rPr>
        <w:t xml:space="preserve">Philosophical Transactions of the Royal Society B</w:t>
      </w:r>
      <w:r w:rsidDel="00000000" w:rsidR="00000000" w:rsidRPr="00000000">
        <w:rPr>
          <w:rtl w:val="0"/>
        </w:rPr>
        <w:t xml:space="preserve">, 369, 20130457. https://doi.org/10.1098/rstb.2013.0457 (PMID 25047611) — </w:t>
      </w:r>
      <w:r w:rsidDel="00000000" w:rsidR="00000000" w:rsidRPr="00000000">
        <w:rPr>
          <w:b w:val="1"/>
          <w:bCs w:val="1"/>
          <w:rtl w:val="0"/>
        </w:rPr>
        <w:t xml:space="preserve">centriole structure/cycle (v8.1)</w:t>
      </w:r>
      <w:r w:rsidDel="00000000" w:rsidR="00000000" w:rsidRPr="00000000">
        <w:rPr>
          <w:rtl w:val="0"/>
        </w:rPr>
      </w:r>
    </w:p>
    <w:p w:rsidR="00000000" w:rsidDel="00000000" w:rsidP="00000000" w:rsidRDefault="00000000" w:rsidRPr="00000000" w14:paraId="000002E8">
      <w:pPr>
        <w:numPr>
          <w:ilvl w:val="0"/>
          <w:numId w:val="9"/>
        </w:numPr>
        <w:ind w:left="720" w:hanging="360"/>
        <w:jc w:val="both"/>
        <w:rPr/>
      </w:pPr>
      <w:r w:rsidDel="00000000" w:rsidR="00000000" w:rsidRPr="00000000">
        <w:rPr>
          <w:rtl w:val="0"/>
        </w:rPr>
        <w:t xml:space="preserve">Lambrus, B. G., &amp; Holland, A. J. (2017). A new mode of mitotic surveillance. </w:t>
      </w:r>
      <w:r w:rsidDel="00000000" w:rsidR="00000000" w:rsidRPr="00000000">
        <w:rPr>
          <w:i w:val="1"/>
          <w:iCs w:val="1"/>
          <w:rtl w:val="0"/>
        </w:rPr>
        <w:t xml:space="preserve">Trends in Cell Biology</w:t>
      </w:r>
      <w:r w:rsidDel="00000000" w:rsidR="00000000" w:rsidRPr="00000000">
        <w:rPr>
          <w:rtl w:val="0"/>
        </w:rPr>
        <w:t xml:space="preserve">, 27(4), 314–321. https://doi.org/10.1016/j.tcb.2017.01.004 (PMID 28188027) — </w:t>
      </w:r>
      <w:r w:rsidDel="00000000" w:rsidR="00000000" w:rsidRPr="00000000">
        <w:rPr>
          <w:b w:val="1"/>
          <w:bCs w:val="1"/>
          <w:rtl w:val="0"/>
        </w:rPr>
        <w:t xml:space="preserve">acentriolar-cell checkpoint review; previously missing from References, added v8.1</w:t>
      </w:r>
      <w:r w:rsidDel="00000000" w:rsidR="00000000" w:rsidRPr="00000000">
        <w:rPr>
          <w:rtl w:val="0"/>
        </w:rPr>
      </w:r>
    </w:p>
    <w:p w:rsidR="00000000" w:rsidDel="00000000" w:rsidP="00000000" w:rsidRDefault="00000000" w:rsidRPr="00000000" w14:paraId="000002E9">
      <w:pPr>
        <w:numPr>
          <w:ilvl w:val="0"/>
          <w:numId w:val="9"/>
        </w:numPr>
        <w:ind w:left="720" w:hanging="360"/>
        <w:jc w:val="both"/>
        <w:rPr/>
      </w:pPr>
      <w:r w:rsidDel="00000000" w:rsidR="00000000" w:rsidRPr="00000000">
        <w:rPr>
          <w:rtl w:val="0"/>
        </w:rPr>
        <w:t xml:space="preserve">Wang, W.-J., Acehan, D., Kao, C.-H., et al. (2015). De novo centriole formation in human cells is error-prone and does not require SAS-6 self-assembly. </w:t>
      </w:r>
      <w:r w:rsidDel="00000000" w:rsidR="00000000" w:rsidRPr="00000000">
        <w:rPr>
          <w:i w:val="1"/>
          <w:iCs w:val="1"/>
          <w:rtl w:val="0"/>
        </w:rPr>
        <w:t xml:space="preserve">eLife</w:t>
      </w:r>
      <w:r w:rsidDel="00000000" w:rsidR="00000000" w:rsidRPr="00000000">
        <w:rPr>
          <w:rtl w:val="0"/>
        </w:rPr>
        <w:t xml:space="preserve">, 4, e10586. https://doi.org/10.7554/eLife.10586 (PMID 26609813) — </w:t>
      </w:r>
      <w:r w:rsidDel="00000000" w:rsidR="00000000" w:rsidRPr="00000000">
        <w:rPr>
          <w:b w:val="1"/>
          <w:bCs w:val="1"/>
          <w:rtl w:val="0"/>
        </w:rPr>
        <w:t xml:space="preserve">de novo structural errors, no SAS-6 requirement (; assessor’s article number e16227 corrected to e10586)</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Citation integrity.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All 88 unique PMIDs verified via NCBI E-utilities batch query (2026-08-12, 88/88). One new source verified and added (Wang 2015, eLife 4:e10586, PMID 26609813 — assessor’s article number corrected); all other cited sources already in the protocol; no fabrications: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titles, authors, journals, years all match. Corrections in v5.6: Chen &amp; Yamashita 2021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 Biology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11(2):200334 (not Current Opinion); Zhang 2026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Journal of Controlled Release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Sci Transl Med);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Wong 2015 interpreted exactly per its abstract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recovery after centriole loss demonstrated only in cancer lines; normal cells arrest irreversibly (p53-dependent), and this is now presented as the Phase 1 feasibility question, not a premise. Corrections from v4.0: (1) Tkemaladze 2023 title restored to the exact PubMed title; (2) Hong 2025 / Cummings 2025 / De Man 2026 marked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(systemic entropy measures — not centriolar evidence, included for completeness); (3) Köhrer 2023 cited as disease-associated geometry change (plasma cell disorders), not aging.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v7.0 corrections (revision):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the mitotic-surveillance evidence base is now cited from primary sources — Fong 2016 (eLife) and Meitinger 2016 (JCB) — replacing any earlier non-specific attribution; (5) Yamashita 2007 DOI added (10.1126/science.1134910); (6) five new PMIDs verified (44–49; total 49 unique). Independent full re-verification of all references by a non-author is recommended before submission (per independent verification).</w:t>
      </w:r>
    </w:p>
    <w:p w:rsidR="00000000" w:rsidDel="00000000" w:rsidP="00000000" w:rsidRDefault="00000000" w:rsidRPr="00000000" w14:paraId="000002E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rPr/>
      </w:pPr>
      <w:r w:rsidDel="00000000" w:rsidR="00000000" w:rsidRPr="00000000">
        <w:rPr>
          <w:rtl w:val="0"/>
        </w:rPr>
        <w:t xml:space="preserve">PART 3 — APPENDIX: SYSTEMATIC SEARCH PROTOCOL (novelty verification)</w:t>
      </w:r>
    </w:p>
    <w:p w:rsidR="00000000" w:rsidDel="00000000" w:rsidP="00000000" w:rsidRDefault="00000000" w:rsidRPr="00000000" w14:paraId="000002ED">
      <w:pPr>
        <w:pStyle w:val="Heading1"/>
        <w:rPr/>
      </w:pPr>
      <w:r w:rsidDel="00000000" w:rsidR="00000000" w:rsidRPr="00000000">
        <w:rPr>
          <w:rtl w:val="0"/>
        </w:rPr>
        <w:t xml:space="preserve">APPENDIX — Systematic Search Protocol (novelty verification)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Entropy Reset Protocol v6.2 · Date of search: 2026-08-11 · Method: NCBI E-utilities (PubMed) + Europe PMC (incl. preprints) + Crossref</w:t>
      </w:r>
      <w:r w:rsidDel="00000000" w:rsidR="00000000" w:rsidRPr="00000000">
        <w:rPr>
          <w:rtl w:val="0"/>
        </w:rPr>
      </w:r>
    </w:p>
    <w:p w:rsidR="00000000" w:rsidDel="00000000" w:rsidP="00000000" w:rsidRDefault="00000000" w:rsidRPr="00000000" w14:paraId="000002EF">
      <w:pPr>
        <w:pStyle w:val="Heading2"/>
        <w:rPr/>
      </w:pPr>
      <w:r w:rsidDel="00000000" w:rsidR="00000000" w:rsidRPr="00000000">
        <w:rPr>
          <w:rtl w:val="0"/>
        </w:rPr>
        <w:t xml:space="preserve">1. Objective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the novelty statement: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“To our knowledge, no study has yet directly tested whether controlled centriole elimination followed by bona fide de novo biogenesis produces OSK-independent improvements in defined cellular aging phenotypes.”</w:t>
      </w:r>
      <w:r w:rsidDel="00000000" w:rsidR="00000000" w:rsidRPr="00000000">
        <w:rPr>
          <w:rtl w:val="0"/>
        </w:rPr>
      </w:r>
    </w:p>
    <w:p w:rsidR="00000000" w:rsidDel="00000000" w:rsidP="00000000" w:rsidRDefault="00000000" w:rsidRPr="00000000" w14:paraId="000002F1">
      <w:pPr>
        <w:pStyle w:val="Heading2"/>
        <w:rPr/>
      </w:pPr>
      <w:r w:rsidDel="00000000" w:rsidR="00000000" w:rsidRPr="00000000">
        <w:rPr>
          <w:rtl w:val="0"/>
        </w:rPr>
        <w:t xml:space="preserve">2. Databases (search expanded per earlier review)</w:t>
      </w:r>
    </w:p>
    <w:tbl>
      <w:tblPr>
        <w:tblStyle w:val="Table22"/>
        <w:tblW w:w="7920.0" w:type="dxa"/>
        <w:jc w:val="center"/>
        <w:tblLayout w:type="fixed"/>
        <w:tblLook w:val="0020"/>
      </w:tblPr>
      <w:tblGrid>
        <w:gridCol w:w="3168"/>
        <w:gridCol w:w="3168"/>
        <w:gridCol w:w="1584"/>
        <w:tblGridChange w:id="0">
          <w:tblGrid>
            <w:gridCol w:w="3168"/>
            <w:gridCol w:w="3168"/>
            <w:gridCol w:w="1584"/>
          </w:tblGrid>
        </w:tblGridChange>
      </w:tblGrid>
      <w:tr>
        <w:trPr>
          <w:cantSplit w:val="0"/>
          <w:tblHeader w:val="1"/>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Coverage</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w:t>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PubMed (NCBI E-utilities)</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peer-reviewed</w:t>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done 2026-08-11</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Europe PMC</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PubMed + preprints (bioRxiv/medRxiv)</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done 2026-08-11</w:t>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Crossref</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global DOI metadata (journals + preprints)</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done 2026-08-11</w:t>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OpenAlex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(free, ~250M works, Scopus-level coverage)</w:t>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journals + preprints + books</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done 2026-08-11</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Semantic Scholar</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rate-limited (HTTP 429) on 2026-08-11; to be re-run pre-submission</w:t>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Scopus / Web of Science</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planned pre-submission (institutional access required)</w:t>
            </w:r>
          </w:p>
        </w:tc>
      </w:tr>
    </w:tbl>
    <w:p w:rsidR="00000000" w:rsidDel="00000000" w:rsidP="00000000" w:rsidRDefault="00000000" w:rsidRPr="00000000" w14:paraId="00000307">
      <w:pPr>
        <w:pStyle w:val="Heading2"/>
        <w:rPr/>
      </w:pPr>
      <w:r w:rsidDel="00000000" w:rsidR="00000000" w:rsidRPr="00000000">
        <w:rPr>
          <w:rtl w:val="0"/>
        </w:rPr>
        <w:t xml:space="preserve">3. Queries and results</w:t>
      </w:r>
    </w:p>
    <w:p w:rsidR="00000000" w:rsidDel="00000000" w:rsidP="00000000" w:rsidRDefault="00000000" w:rsidRPr="00000000" w14:paraId="00000308">
      <w:pPr>
        <w:pStyle w:val="Heading3"/>
        <w:rPr/>
      </w:pPr>
      <w:r w:rsidDel="00000000" w:rsidR="00000000" w:rsidRPr="00000000">
        <w:rPr>
          <w:rtl w:val="0"/>
        </w:rPr>
        <w:t xml:space="preserve">3.1 PubMed (2026-08-11)</w:t>
      </w:r>
    </w:p>
    <w:tbl>
      <w:tblPr>
        <w:tblStyle w:val="Table23"/>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Hits</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centriole AND rejuvenation</w:t>
            </w: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elimination AND rejuvenation</w:t>
            </w: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centrinone AND rejuvenation</w:t>
            </w: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 novo centriole AND rejuvenation</w:t>
            </w: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AND reprogramming AND somatic</w:t>
            </w: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AND OSK</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AND pluripotency AND elimination</w:t>
            </w: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centrosome AND de novo AND aging</w:t>
            </w:r>
            <w:r w:rsidDel="00000000" w:rsidR="00000000" w:rsidRPr="00000000">
              <w:rPr>
                <w:rtl w:val="0"/>
              </w:rPr>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replacement AND cell aging</w:t>
            </w:r>
            <w:r w:rsidDel="00000000" w:rsidR="00000000" w:rsidRPr="00000000">
              <w:rPr>
                <w:rtl w:val="0"/>
              </w:rPr>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AND longevity</w:t>
            </w: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335">
      <w:pPr>
        <w:pStyle w:val="Heading3"/>
        <w:rPr/>
      </w:pPr>
      <w:r w:rsidDel="00000000" w:rsidR="00000000" w:rsidRPr="00000000">
        <w:rPr>
          <w:rtl w:val="0"/>
        </w:rPr>
        <w:t xml:space="preserve">3.2 Europe PMC (2026-08-11)</w:t>
      </w:r>
    </w:p>
    <w:tbl>
      <w:tblPr>
        <w:tblStyle w:val="Table24"/>
        <w:tblW w:w="7919.0" w:type="dxa"/>
        <w:jc w:val="center"/>
        <w:tblLayout w:type="fixed"/>
        <w:tblLook w:val="0020"/>
      </w:tblPr>
      <w:tblGrid>
        <w:gridCol w:w="3261"/>
        <w:gridCol w:w="2329"/>
        <w:gridCol w:w="2329"/>
        <w:tblGridChange w:id="0">
          <w:tblGrid>
            <w:gridCol w:w="3261"/>
            <w:gridCol w:w="2329"/>
            <w:gridCol w:w="2329"/>
          </w:tblGrid>
        </w:tblGridChange>
      </w:tblGrid>
      <w:tr>
        <w:trPr>
          <w:cantSplit w:val="0"/>
          <w:tblHeader w:val="1"/>
        </w:trPr>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Hits</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w:t>
            </w:r>
          </w:p>
        </w:tc>
      </w:tr>
      <w:tr>
        <w:trPr>
          <w:cantSplit w:val="0"/>
          <w:tblHeader w:val="0"/>
        </w:trPr>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centriole AND rejuvenation</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(reviews on asymmetric division, conference posters)</w:t>
            </w:r>
          </w:p>
        </w:tc>
      </w:tr>
      <w:tr>
        <w:trPr>
          <w:cantSplit w:val="0"/>
          <w:tblHeader w:val="0"/>
        </w:trPr>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elimination AND rejuvenation</w:t>
            </w: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(reviews; conference abstracts)</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 novo centriole AND rejuvenation</w:t>
            </w: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centrinone AND rejuvenation</w:t>
            </w: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Preprints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AND SRC:PPR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AND rejuvenation</w:t>
            </w: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 author’s own MCARA preprint (2026)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theoretical, no experiment; excluded as non-test</w:t>
            </w:r>
          </w:p>
        </w:tc>
      </w:tr>
      <w:tr>
        <w:trPr>
          <w:cantSplit w:val="0"/>
          <w:tblHeader w:val="0"/>
        </w:trPr>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Preprints: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elimination AND SRC:PPR</w:t>
            </w:r>
            <w:r w:rsidDel="00000000" w:rsidR="00000000" w:rsidRPr="00000000">
              <w:rPr>
                <w:rtl w:val="0"/>
              </w:rPr>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 author’s own “Centriole Elimination as a Gateway to a New Differentiation State” (2026) — protocol, no data; excluded as non-test. Remaining 18: non-relevant (axoneme elimination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Naegleria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MOCT in protists)</w:t>
            </w:r>
          </w:p>
        </w:tc>
      </w:tr>
    </w:tbl>
    <w:p w:rsidR="00000000" w:rsidDel="00000000" w:rsidP="00000000" w:rsidRDefault="00000000" w:rsidRPr="00000000" w14:paraId="0000034B">
      <w:pPr>
        <w:pStyle w:val="Heading3"/>
        <w:rPr/>
      </w:pPr>
      <w:r w:rsidDel="00000000" w:rsidR="00000000" w:rsidRPr="00000000">
        <w:rPr>
          <w:rtl w:val="0"/>
        </w:rPr>
        <w:t xml:space="preserve">3.3 OpenAlex (2026-08-11) — Scopus-level coverage, free</w:t>
      </w:r>
    </w:p>
    <w:tbl>
      <w:tblPr>
        <w:tblStyle w:val="Table25"/>
        <w:tblW w:w="7919.0" w:type="dxa"/>
        <w:jc w:val="center"/>
        <w:tblLayout w:type="fixed"/>
        <w:tblLook w:val="0020"/>
      </w:tblPr>
      <w:tblGrid>
        <w:gridCol w:w="3261"/>
        <w:gridCol w:w="2329"/>
        <w:gridCol w:w="2329"/>
        <w:tblGridChange w:id="0">
          <w:tblGrid>
            <w:gridCol w:w="3261"/>
            <w:gridCol w:w="2329"/>
            <w:gridCol w:w="2329"/>
          </w:tblGrid>
        </w:tblGridChange>
      </w:tblGrid>
      <w:tr>
        <w:trPr>
          <w:cantSplit w:val="0"/>
          <w:tblHeader w:val="1"/>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Works</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centriole rejuvenation</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243</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direct tests (phrase-level; top hits unrelated: “Rejuvenation Biotechnology”; “Centrioles and Cellular Differentiation”)</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elimination rejuvenation</w:t>
            </w:r>
            <w:r w:rsidDel="00000000" w:rsidR="00000000" w:rsidRPr="00000000">
              <w:rPr>
                <w:rtl w:val="0"/>
              </w:rPr>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144</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direct tests (top hit: “Centrioles as Structural Damage Reservoirs” — theory, no experiment)</w:t>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 novo centriole aging</w:t>
            </w: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1,745</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direct tests (reviews of centriole/cilium biogenesis)</w:t>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centrinone rejuvenation</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direct tests</w:t>
            </w:r>
          </w:p>
        </w:tc>
      </w:tr>
    </w:tbl>
    <w:p w:rsidR="00000000" w:rsidDel="00000000" w:rsidP="00000000" w:rsidRDefault="00000000" w:rsidRPr="00000000" w14:paraId="0000035B">
      <w:pPr>
        <w:pStyle w:val="Heading3"/>
        <w:rPr/>
      </w:pPr>
      <w:r w:rsidDel="00000000" w:rsidR="00000000" w:rsidRPr="00000000">
        <w:rPr>
          <w:rtl w:val="0"/>
        </w:rPr>
        <w:t xml:space="preserve">3.4 Crossref (2026-08-11)</w:t>
      </w:r>
    </w:p>
    <w:tbl>
      <w:tblPr>
        <w:tblStyle w:val="Table26"/>
        <w:tblW w:w="7919.0" w:type="dxa"/>
        <w:jc w:val="center"/>
        <w:tblLayout w:type="fixed"/>
        <w:tblLook w:val="0020"/>
      </w:tblPr>
      <w:tblGrid>
        <w:gridCol w:w="3261"/>
        <w:gridCol w:w="2329"/>
        <w:gridCol w:w="2329"/>
        <w:tblGridChange w:id="0">
          <w:tblGrid>
            <w:gridCol w:w="3261"/>
            <w:gridCol w:w="2329"/>
            <w:gridCol w:w="2329"/>
          </w:tblGrid>
        </w:tblGridChange>
      </w:tblGrid>
      <w:tr>
        <w:trPr>
          <w:cantSplit w:val="0"/>
          <w:tblHeader w:val="1"/>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Query</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Relevant</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centriole rejuvenation</w:t>
            </w: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13,024 (full-text phrase matches)</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direct tests (top hits: 2010 “Centriole, Differentiation, and Senescence”; author’s gametogenesis preprint)</w:t>
            </w:r>
          </w:p>
        </w:tc>
      </w:tr>
      <w:tr>
        <w:trPr>
          <w:cantSplit w:val="0"/>
          <w:tblHeader w:val="0"/>
        </w:trPr>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centriole elimination rejuvenation</w:t>
            </w: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83,615</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direct tests</w:t>
            </w:r>
          </w:p>
        </w:tc>
      </w:tr>
    </w:tbl>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76" w:lineRule="auto"/>
        <w:ind w:left="480" w:right="48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Transparency note (per earlier review):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Crossref full-text counts are phrase-level and not informative alone; relevance assessed on the top-10 titles per query. Two hits are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author’s own preprints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(MCARA; Centriole Elimination Gateway) — they are listed here explicitly, are theoretical/protocol-only (no experimental test of the aging-phenotype question), and are excluded from the novelty claim. Scopus/WoS to be run pre-submission.</w:t>
      </w:r>
    </w:p>
    <w:p w:rsidR="00000000" w:rsidDel="00000000" w:rsidP="00000000" w:rsidRDefault="00000000" w:rsidRPr="00000000" w14:paraId="00000366">
      <w:pPr>
        <w:pStyle w:val="Heading2"/>
        <w:rPr/>
      </w:pPr>
      <w:r w:rsidDel="00000000" w:rsidR="00000000" w:rsidRPr="00000000">
        <w:rPr>
          <w:rtl w:val="0"/>
        </w:rPr>
        <w:t xml:space="preserve">4. DOI cross-check of the 47 verified references (per earlier review)</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47 PMIDs verified via E-utilities batch (2026-08-11). Of these,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39 have DOI records in PubMed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8 are pre-DOI-era (1991–2009) and carry no PubMed DOI (e.g., Szöllosi 1991, PMID 1756312; Khodjakov 2002, PMID 12356862; Yamashita 2007, PMID 17255513 — DOI resolvable via publisher/journals directly: 10.1083/jcb.200205102; 10.1126/science.1134910). DOI table available on request; independent four-eyes re-check by a non-author recommended pre-submission.</w:t>
      </w:r>
    </w:p>
    <w:p w:rsidR="00000000" w:rsidDel="00000000" w:rsidP="00000000" w:rsidRDefault="00000000" w:rsidRPr="00000000" w14:paraId="00000368">
      <w:pPr>
        <w:pStyle w:val="Heading2"/>
        <w:rPr/>
      </w:pPr>
      <w:r w:rsidDel="00000000" w:rsidR="00000000" w:rsidRPr="00000000">
        <w:rPr>
          <w:rtl w:val="0"/>
        </w:rPr>
        <w:t xml:space="preserve">5. Inclusion/exclusion (PRISMA-style)</w:t>
      </w:r>
    </w:p>
    <w:p w:rsidR="00000000" w:rsidDel="00000000" w:rsidP="00000000" w:rsidRDefault="00000000" w:rsidRPr="00000000" w14:paraId="000003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Included: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experimental centriole/centrosome removal + post-removal aging/rejuvenation readout + somatic cells.</w:t>
      </w:r>
    </w:p>
    <w:p w:rsidR="00000000" w:rsidDel="00000000" w:rsidP="00000000" w:rsidRDefault="00000000" w:rsidRPr="00000000" w14:paraId="000003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Excluded (documented):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removal without aging readouts (Khodjakov, La Terra, Uetake, Wong); germline/meiotic elimination; pluripotency-only (Renzova); theory-only preprints (author’s own).</w:t>
      </w:r>
    </w:p>
    <w:p w:rsidR="00000000" w:rsidDel="00000000" w:rsidP="00000000" w:rsidRDefault="00000000" w:rsidRPr="00000000" w14:paraId="0000036B">
      <w:pPr>
        <w:pStyle w:val="Heading2"/>
        <w:rPr/>
      </w:pPr>
      <w:r w:rsidDel="00000000" w:rsidR="00000000" w:rsidRPr="00000000">
        <w:rPr>
          <w:rtl w:val="0"/>
        </w:rPr>
        <w:t xml:space="preserve">6. Conclusion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Search completion status (per earlier review):</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PubMed ✅ · Europe PMC (incl. preprints) ✅ · Crossref ✅ · </w:t>
      </w: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OpenAlex ✅ (2026-08-11)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Semantic Scholar ⚠️ rate-limited (re-run planned) · Scopus/WoS ⏳ (institutional access; OpenAlex covers equivalent indexing for the novelty screen). The novelty claim is supported across all completed databases; final Scopus/WoS leg is scheduled before submission. The novelty claim is supported for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specific combination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(aging readouts + verified de novo origin + OSK factorial in somatic cells) across PubMed, Europe PMC (incl. preprints), and Crossref. It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claimed that elimination or de novo assembly are novel per se — the four prototypes solved those pieces separately (§3.4–3.5 of the protocol).</w:t>
      </w:r>
    </w:p>
    <w:p w:rsidR="00000000" w:rsidDel="00000000" w:rsidP="00000000" w:rsidRDefault="00000000" w:rsidRPr="00000000" w14:paraId="0000036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rPr/>
      </w:pPr>
      <w:r w:rsidDel="00000000" w:rsidR="00000000" w:rsidRPr="00000000">
        <w:rPr>
          <w:rtl w:val="0"/>
        </w:rPr>
        <w:t xml:space="preserve">Figures</w:t>
      </w:r>
    </w:p>
    <w:p w:rsidR="00000000" w:rsidDel="00000000" w:rsidP="00000000" w:rsidRDefault="00000000" w:rsidRPr="00000000" w14:paraId="0000036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318838"/>
            <wp:effectExtent b="0" l="0" r="0" t="0"/>
            <wp:docPr descr="Figure 1 — The Centrosome as a Unidirectional Ratchet of Cellular Identity and Aging" id="2" name="image2.png"/>
            <a:graphic>
              <a:graphicData uri="http://schemas.openxmlformats.org/drawingml/2006/picture">
                <pic:pic>
                  <pic:nvPicPr>
                    <pic:cNvPr descr="Figure 1 — The Centrosome as a Unidirectional Ratchet of Cellular Identity and Aging" id="0" name="image2.png"/>
                    <pic:cNvPicPr preferRelativeResize="0"/>
                  </pic:nvPicPr>
                  <pic:blipFill>
                    <a:blip r:embed="rId8"/>
                    <a:srcRect b="0" l="0" r="0" t="0"/>
                    <a:stretch>
                      <a:fillRect/>
                    </a:stretch>
                  </pic:blipFill>
                  <pic:spPr>
                    <a:xfrm>
                      <a:off x="0" y="0"/>
                      <a:ext cx="5334000" cy="2318838"/>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Figure 1 — The Centrosome as a Unidirectional Ratchet of Cellular Identity and Aging</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 — The Centrosome as a Unidirectional Ratchet of Cellular Identity and Aging.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Pluripotent cell: ratchet released down upon centriole loss (Renzova 2018). (B) Somatic cell: ratchet released to plasticity, then re-locked younger (this protocol).</w:t>
      </w:r>
    </w:p>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648765"/>
            <wp:effectExtent b="0" l="0" r="0" t="0"/>
            <wp:docPr descr="Figure 2 — Experimental Design: 2×2 Factorial with Override and Control Arms" id="5" name="image3.png"/>
            <a:graphic>
              <a:graphicData uri="http://schemas.openxmlformats.org/drawingml/2006/picture">
                <pic:pic>
                  <pic:nvPicPr>
                    <pic:cNvPr descr="Figure 2 — Experimental Design: 2×2 Factorial with Override and Control Arms" id="0" name="image3.png"/>
                    <pic:cNvPicPr preferRelativeResize="0"/>
                  </pic:nvPicPr>
                  <pic:blipFill>
                    <a:blip r:embed="rId9"/>
                    <a:srcRect b="0" l="0" r="0" t="0"/>
                    <a:stretch>
                      <a:fillRect/>
                    </a:stretch>
                  </pic:blipFill>
                  <pic:spPr>
                    <a:xfrm>
                      <a:off x="0" y="0"/>
                      <a:ext cx="5334000" cy="2648765"/>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Figure 2 — Experimental Design: 2×2 Factorial with Override and Control Arms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2 — Experimental Design: 2×2 Factorial with Override and Control Arms.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Arms A–D (OSK × reset), control arms E/E’ (p53-suppression vs. USP25/28 + PIDD1-KD), perturbation and cGAS/STING-KO dissociation arms, and arm F (temporal dissociation: reset → washout → 10 passages → OSK).</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3542547"/>
            <wp:effectExtent b="0" l="0" r="0" t="0"/>
            <wp:docPr descr="Figure 3 — Proof Ladder and Verification Gates" id="3" name="image5.png"/>
            <a:graphic>
              <a:graphicData uri="http://schemas.openxmlformats.org/drawingml/2006/picture">
                <pic:pic>
                  <pic:nvPicPr>
                    <pic:cNvPr descr="Figure 3 — Proof Ladder and Verification Gates" id="0" name="image5.png"/>
                    <pic:cNvPicPr preferRelativeResize="0"/>
                  </pic:nvPicPr>
                  <pic:blipFill>
                    <a:blip r:embed="rId10"/>
                    <a:srcRect b="0" l="0" r="0" t="0"/>
                    <a:stretch>
                      <a:fillRect/>
                    </a:stretch>
                  </pic:blipFill>
                  <pic:spPr>
                    <a:xfrm>
                      <a:off x="0" y="0"/>
                      <a:ext cx="5334000" cy="3542547"/>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Figure 3 — Proof Ladder and Verification Gates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3 — Proof Ladder and Verification Gates.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Proofs A–D’’’’ (de novo origin, SILAC purity, maturation, geometry), gates E–E’’ (number, STED structural verification, live first-mitoses), and the phased go/no-go ladder from Phase 1A feasibility to Phase 3 in vivo.</w:t>
      </w:r>
    </w:p>
    <w:p w:rsidR="00000000" w:rsidDel="00000000" w:rsidP="00000000" w:rsidRDefault="00000000" w:rsidRPr="00000000" w14:paraId="0000037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3061000"/>
            <wp:effectExtent b="0" l="0" r="0" t="0"/>
            <wp:docPr descr="Figure 4 — p53-Surveillance Architecture and Override Strategy" id="7" name="image4.png"/>
            <a:graphic>
              <a:graphicData uri="http://schemas.openxmlformats.org/drawingml/2006/picture">
                <pic:pic>
                  <pic:nvPicPr>
                    <pic:cNvPr descr="Figure 4 — p53-Surveillance Architecture and Override Strategy" id="0" name="image4.png"/>
                    <pic:cNvPicPr preferRelativeResize="0"/>
                  </pic:nvPicPr>
                  <pic:blipFill>
                    <a:blip r:embed="rId11"/>
                    <a:srcRect b="0" l="0" r="0" t="0"/>
                    <a:stretch>
                      <a:fillRect/>
                    </a:stretch>
                  </pic:blipFill>
                  <pic:spPr>
                    <a:xfrm>
                      <a:off x="0" y="0"/>
                      <a:ext cx="5334000" cy="30610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Figure 4 — p53-Surveillance Architecture and Override Strategy</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4 — p53-Surveillance Architecture and Override Strategy.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Loss arm (53BP1–USP28–p53; USP25/28 inhibitor preserves p53 for genuine DNA damage) and amplification/inflammation arm (PIDDosome–ANKRD26; cGAS–STING; PIDD1-KD, KO arms; cytostatic window RO-3306).</w:t>
      </w:r>
    </w:p>
    <w:p w:rsidR="00000000" w:rsidDel="00000000" w:rsidP="00000000" w:rsidRDefault="00000000" w:rsidRPr="00000000" w14:paraId="000003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1820054"/>
            <wp:effectExtent b="0" l="0" r="0" t="0"/>
            <wp:docPr descr="Figure 5 — Transformation Surveillance: Five Pre-Registered Anti-Neoplastic Layers" id="6" name="image1.png"/>
            <a:graphic>
              <a:graphicData uri="http://schemas.openxmlformats.org/drawingml/2006/picture">
                <pic:pic>
                  <pic:nvPicPr>
                    <pic:cNvPr descr="Figure 5 — Transformation Surveillance: Five Pre-Registered Anti-Neoplastic Layers" id="0" name="image1.png"/>
                    <pic:cNvPicPr preferRelativeResize="0"/>
                  </pic:nvPicPr>
                  <pic:blipFill>
                    <a:blip r:embed="rId12"/>
                    <a:srcRect b="0" l="0" r="0" t="0"/>
                    <a:stretch>
                      <a:fillRect/>
                    </a:stretch>
                  </pic:blipFill>
                  <pic:spPr>
                    <a:xfrm>
                      <a:off x="0" y="0"/>
                      <a:ext cx="5334000" cy="1820054"/>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Figure 5 — Transformation Surveillance: Five Pre-Registered Anti-Neoplastic Layers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5 — Transformation Surveillance: Five Pre-Registered Anti-Neoplastic Layers.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p53 re-competence, karyotype/ploidy, immortalization screen, anchorage independence, clonal dynamics; any clone failing a layer is excluded; ≥5% flag rate triggers the safety futility stop.</w:t>
      </w:r>
    </w:p>
    <w:p w:rsidR="00000000" w:rsidDel="00000000" w:rsidP="00000000" w:rsidRDefault="00000000" w:rsidRPr="00000000" w14:paraId="000003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5334000"/>
            <wp:effectExtent b="0" l="0" r="0" t="0"/>
            <wp:docPr descr="Figure 6 — The 13-Puzzle Schematic (supplementary; schematic only, not a 13th-hallmark claim)" id="8" name="image6.png"/>
            <a:graphic>
              <a:graphicData uri="http://schemas.openxmlformats.org/drawingml/2006/picture">
                <pic:pic>
                  <pic:nvPicPr>
                    <pic:cNvPr descr="Figure 6 — The 13-Puzzle Schematic (supplementary; schematic only, not a 13th-hallmark claim)" id="0" name="image6.png"/>
                    <pic:cNvPicPr preferRelativeResize="0"/>
                  </pic:nvPicPr>
                  <pic:blipFill>
                    <a:blip r:embed="rId13"/>
                    <a:srcRect b="0" l="0" r="0" t="0"/>
                    <a:stretch>
                      <a:fillRect/>
                    </a:stretch>
                  </pic:blipFill>
                  <pic:spPr>
                    <a:xfrm>
                      <a:off x="0" y="0"/>
                      <a:ext cx="5334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Figure 6 — The 13-Puzzle Schematic (supplementary; schematic only, not a 13th-hallmark claim)</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6 — The 13-Puzzle Schematic (supplementary; schematic only, not a 13th-hallmark claim).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 Hallmarks of Aging (López-Otín framework) + centriole elimination and de novo synthesis as the candidate mechanistic axis.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Courier New"/>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180" w:lineRule="auto"/>
      <w:jc w:val="both"/>
    </w:pPr>
    <w:rPr>
      <w:rFonts w:ascii="Play" w:cs="Play" w:eastAsia="Play" w:hAnsi="Play"/>
      <w:sz w:val="40"/>
      <w:szCs w:val="40"/>
    </w:rPr>
  </w:style>
  <w:style w:type="paragraph" w:styleId="Heading2">
    <w:name w:val="heading 2"/>
    <w:basedOn w:val="Normal"/>
    <w:next w:val="Normal"/>
    <w:pPr>
      <w:keepNext w:val="1"/>
      <w:keepLines w:val="1"/>
      <w:spacing w:after="80" w:before="160" w:lineRule="auto"/>
      <w:jc w:val="both"/>
    </w:pPr>
    <w:rPr>
      <w:rFonts w:ascii="Play" w:cs="Play" w:eastAsia="Play" w:hAnsi="Play"/>
      <w:sz w:val="32"/>
      <w:szCs w:val="32"/>
    </w:rPr>
  </w:style>
  <w:style w:type="paragraph" w:styleId="Heading3">
    <w:name w:val="heading 3"/>
    <w:basedOn w:val="Normal"/>
    <w:next w:val="Normal"/>
    <w:pPr>
      <w:keepNext w:val="1"/>
      <w:keepLines w:val="1"/>
      <w:spacing w:after="80" w:before="160" w:lineRule="auto"/>
      <w:jc w:val="both"/>
    </w:pPr>
    <w:rPr>
      <w:sz w:val="28"/>
      <w:szCs w:val="28"/>
    </w:rPr>
  </w:style>
  <w:style w:type="paragraph" w:styleId="Heading4">
    <w:name w:val="heading 4"/>
    <w:basedOn w:val="Normal"/>
    <w:next w:val="Normal"/>
    <w:pPr>
      <w:keepNext w:val="1"/>
      <w:keepLines w:val="1"/>
      <w:spacing w:after="40" w:before="80" w:lineRule="auto"/>
      <w:jc w:val="both"/>
    </w:pPr>
    <w:rPr>
      <w:sz w:val="26"/>
      <w:szCs w:val="26"/>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ardo-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