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 and to organizers of externally-requested performances</w:t>
      </w:r>
    </w:p>
    <w:p>
      <w:pPr>
        <w:numPr>
          <w:ilvl w:val="1"/>
          <w:numId w:val="1006"/>
        </w:numPr>
      </w:pPr>
      <w:r>
        <w:t xml:space="preserve">Serving as point-of-contact at the venue for externally-requested performances, or delegating this responsibility</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Organization of rehearsals and logistics for externally-requested performances</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2024-04-24T16:53:15Z</dcterms:created>
  <dcterms:modified xsi:type="dcterms:W3CDTF">2024-04-24T16:53:15Z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