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Authoring Custom SharePoint Skills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Anatomy of a skill</w:t>
      </w:r>
    </w:p>
    <w:p>
      <w:r>
        <w:t>A SharePoint skill typically contains a SKILL.md file with the instructions, an assets folder with a sample.json, and optionally a demo folder with fixture files. The SKILL.md is the entry point that Copilot reads.</w:t>
      </w:r>
    </w:p>
    <w:p>
      <w:pPr>
        <w:pStyle w:val="Heading2"/>
      </w:pPr>
      <w:r>
        <w:t>Writing the SKILL.md</w:t>
      </w:r>
    </w:p>
    <w:p>
      <w:r>
        <w:t>Start with a short description of when to use the skill, then list the inputs, the steps Copilot should take, and the expected output. Be explicit about tool usage and any guardrails.</w:t>
      </w:r>
    </w:p>
    <w:p>
      <w:pPr>
        <w:pStyle w:val="Heading2"/>
      </w:pPr>
      <w:r>
        <w:t>Iterating</w:t>
      </w:r>
    </w:p>
    <w:p>
      <w:r>
        <w:t>Author the skill, run it, observe the output, then refine the wording. Small changes to instructions often have a big impact on the result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