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Classifying Files with SharePoint Skills</w:t>
      </w:r>
    </w:p>
    <w:p>
      <w:r>
        <w:t>A sample document used to demonstrate SharePoint Skills. Content is illustrative only.</w:t>
      </w:r>
    </w:p>
    <w:p>
      <w:pPr>
        <w:pStyle w:val="Heading2"/>
      </w:pPr>
      <w:r>
        <w:t>Why classify?</w:t>
      </w:r>
    </w:p>
    <w:p>
      <w:r>
        <w:t>Classification powers retention, security, and findability. Without it, sensitive content drifts into shared libraries and important records are hard to locate.</w:t>
      </w:r>
    </w:p>
    <w:p>
      <w:pPr>
        <w:pStyle w:val="Heading2"/>
      </w:pPr>
      <w:r>
        <w:t>The file-classifier skill</w:t>
      </w:r>
    </w:p>
    <w:p>
      <w:r>
        <w:t>Given a file or batch of files, the skill suggests a category, sensitivity label, and retention tag. It reads file content where possible and falls back to metadata when not.</w:t>
      </w:r>
    </w:p>
    <w:p>
      <w:pPr>
        <w:pStyle w:val="Heading2"/>
      </w:pPr>
      <w:r>
        <w:t>Human in the loop</w:t>
      </w:r>
    </w:p>
    <w:p>
      <w:r>
        <w:t>Treat the skill's output as a recommendation. Accept the suggestions you trust, edit the rest, and the skill learns the patterns of your organisation over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