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Best Practices on SharePoint Skills</w:t>
      </w:r>
    </w:p>
    <w:p>
      <w:r>
        <w:t>A sample document used to demonstrate SharePoint Skills. Content is illustrative only.</w:t>
      </w:r>
    </w:p>
    <w:p>
      <w:pPr>
        <w:pStyle w:val="Heading2"/>
      </w:pPr>
      <w:r>
        <w:t>Keep skills focused</w:t>
      </w:r>
    </w:p>
    <w:p>
      <w:r>
        <w:t>A good skill does one thing well. Resist the temptation to bundle unrelated actions into a single skill - smaller, composable skills are easier to test, document, and reuse.</w:t>
      </w:r>
    </w:p>
    <w:p>
      <w:pPr>
        <w:pStyle w:val="Heading2"/>
      </w:pPr>
      <w:r>
        <w:t>Document inputs and outputs</w:t>
      </w:r>
    </w:p>
    <w:p>
      <w:r>
        <w:t>Every skill should clearly state what data it expects and what it produces. Use the sample.json file to give Copilot a concrete example of the shape of the payload.</w:t>
      </w:r>
    </w:p>
    <w:p>
      <w:pPr>
        <w:pStyle w:val="Heading2"/>
      </w:pPr>
      <w:r>
        <w:t>Test with realistic data</w:t>
      </w:r>
    </w:p>
    <w:p>
      <w:r>
        <w:t>Before publishing, run the skill against a representative SharePoint site. Watch for edge cases like empty libraries, very long file names, or permission-restricted items.</w:t>
      </w:r>
    </w:p>
    <w:p>
      <w:pPr>
        <w:pStyle w:val="Heading2"/>
      </w:pPr>
      <w:r>
        <w:t>Version your changes</w:t>
      </w:r>
    </w:p>
    <w:p>
      <w:r>
        <w:t>Treat skills as code. Commit changes to source control, write meaningful commit messages, and call out breaking changes in your README.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