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Organizing Document Libraries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From folders to metadata</w:t>
      </w:r>
    </w:p>
    <w:p>
      <w:r>
        <w:t>Deeply nested folders feel familiar but quickly become a maze. Metadata-driven views give every user the structure that suits their work, from the same underlying library.</w:t>
      </w:r>
    </w:p>
    <w:p>
      <w:pPr>
        <w:pStyle w:val="Heading2"/>
      </w:pPr>
      <w:r>
        <w:t>The organize-library skill</w:t>
      </w:r>
    </w:p>
    <w:p>
      <w:r>
        <w:t>This skill proposes a metadata schema based on the existing content of a library, then writes the columns and default views you need to make it useful from day one.</w:t>
      </w:r>
    </w:p>
    <w:p>
      <w:pPr>
        <w:pStyle w:val="Heading2"/>
      </w:pPr>
      <w:r>
        <w:t>Adopting the change</w:t>
      </w:r>
    </w:p>
    <w:p>
      <w:r>
        <w:t>Roll the new structure out alongside a short training note. Showing two or three example filters is usually enough for people to see the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