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Review Council Pattern</w:t>
      </w:r>
    </w:p>
    <w:p>
      <w:r>
        <w:t>A sample document used to demonstrate SharePoint Skills. Content is illustrative only.</w:t>
      </w:r>
    </w:p>
    <w:p>
      <w:pPr>
        <w:pStyle w:val="Heading2"/>
      </w:pPr>
      <w:r>
        <w:t>What is a review council?</w:t>
      </w:r>
    </w:p>
    <w:p>
      <w:r>
        <w:t>The review-council skill convenes a virtual panel of personas - each with a different perspective - to critique a document, page, or proposal before it goes live.</w:t>
      </w:r>
    </w:p>
    <w:p>
      <w:pPr>
        <w:pStyle w:val="Heading2"/>
      </w:pPr>
      <w:r>
        <w:t>Personas</w:t>
      </w:r>
    </w:p>
    <w:p>
      <w:r>
        <w:t>Typical personas include an accessibility advocate, a brand guardian, a security reviewer, and an end-user representative. You can extend the list in the references folder of the skill.</w:t>
      </w:r>
    </w:p>
    <w:p>
      <w:pPr>
        <w:pStyle w:val="Heading2"/>
      </w:pPr>
      <w:r>
        <w:t>Using the feedback</w:t>
      </w:r>
    </w:p>
    <w:p>
      <w:r>
        <w:t>Read the council's notes as a checklist, not a verdict. The goal is to surface blind spots early, while changes are still cheap to make.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