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0" w:lineRule="auto"/>
        <w:rPr>
          <w:b w:val="1"/>
          <w:bCs w:val="1"/>
          <w:sz w:val="28"/>
          <w:szCs w:val="28"/>
        </w:rPr>
      </w:pPr>
      <w:r w:rsidDel="00000000" w:rsidR="00000000" w:rsidRPr="00000000">
        <w:rPr>
          <w:rtl w:val="0"/>
        </w:rPr>
      </w:r>
    </w:p>
    <w:p w:rsidR="00000000" w:rsidDel="00000000" w:rsidP="00000000" w:rsidRDefault="00000000" w:rsidRPr="00000000" w14:paraId="00000003">
      <w:pPr>
        <w:spacing w:after="0" w:lineRule="auto"/>
        <w:jc w:val="center"/>
        <w:rPr>
          <w:b w:val="1"/>
          <w:bCs w:val="1"/>
          <w:sz w:val="32"/>
          <w:szCs w:val="32"/>
        </w:rPr>
      </w:pPr>
      <w:r w:rsidDel="00000000" w:rsidR="00000000" w:rsidRPr="00000000">
        <w:rPr>
          <w:b w:val="1"/>
          <w:bCs w:val="1"/>
          <w:sz w:val="32"/>
          <w:szCs w:val="32"/>
          <w:rtl w:val="0"/>
        </w:rPr>
        <w:t xml:space="preserve">UNIVERSIDAD NACIONAL DE ENTRE RÍOS</w:t>
      </w:r>
    </w:p>
    <w:p w:rsidR="00000000" w:rsidDel="00000000" w:rsidP="00000000" w:rsidRDefault="00000000" w:rsidRPr="00000000" w14:paraId="00000004">
      <w:pPr>
        <w:spacing w:after="0" w:lineRule="auto"/>
        <w:jc w:val="center"/>
        <w:rPr>
          <w:b w:val="1"/>
          <w:bCs w:val="1"/>
          <w:sz w:val="28"/>
          <w:szCs w:val="28"/>
        </w:rPr>
      </w:pPr>
      <w:r w:rsidDel="00000000" w:rsidR="00000000" w:rsidRPr="00000000">
        <w:rPr>
          <w:b w:val="1"/>
          <w:bCs w:val="1"/>
          <w:sz w:val="28"/>
          <w:szCs w:val="28"/>
          <w:rtl w:val="0"/>
        </w:rPr>
        <w:t xml:space="preserve">Facultad de Ciencias de la Salud - Sede Concepción del Uruguay</w:t>
      </w:r>
    </w:p>
    <w:p w:rsidR="00000000" w:rsidDel="00000000" w:rsidP="00000000" w:rsidRDefault="00000000" w:rsidRPr="00000000" w14:paraId="00000005">
      <w:pPr>
        <w:spacing w:after="0" w:lineRule="auto"/>
        <w:jc w:val="center"/>
        <w:rPr>
          <w:b w:val="1"/>
          <w:bCs w:val="1"/>
          <w:sz w:val="28"/>
          <w:szCs w:val="28"/>
        </w:rPr>
      </w:pPr>
      <w:r w:rsidDel="00000000" w:rsidR="00000000" w:rsidRPr="00000000">
        <w:rPr>
          <w:b w:val="1"/>
          <w:bCs w:val="1"/>
          <w:sz w:val="28"/>
          <w:szCs w:val="28"/>
          <w:rtl w:val="0"/>
        </w:rPr>
        <w:t xml:space="preserve">Licenciatura en Instrumentación Quirúrgica</w:t>
      </w:r>
    </w:p>
    <w:p w:rsidR="00000000" w:rsidDel="00000000" w:rsidP="00000000" w:rsidRDefault="00000000" w:rsidRPr="00000000" w14:paraId="00000006">
      <w:pPr>
        <w:spacing w:after="0" w:lineRule="auto"/>
        <w:jc w:val="center"/>
        <w:rPr>
          <w:b w:val="1"/>
          <w:bCs w:val="1"/>
        </w:rPr>
      </w:pPr>
      <w:r w:rsidDel="00000000" w:rsidR="00000000" w:rsidRPr="00000000">
        <w:rPr>
          <w:b w:val="1"/>
          <w:bCs w:val="1"/>
          <w:rtl w:val="0"/>
        </w:rPr>
        <w:t xml:space="preserve">Observación y Práctica de la Conducción en Áreas Quirúrgicas</w:t>
      </w:r>
    </w:p>
    <w:p w:rsidR="00000000" w:rsidDel="00000000" w:rsidP="00000000" w:rsidRDefault="00000000" w:rsidRPr="00000000" w14:paraId="00000007">
      <w:pPr>
        <w:spacing w:after="0" w:lineRule="auto"/>
        <w:jc w:val="center"/>
        <w:rPr>
          <w:b w:val="1"/>
          <w:bCs w:val="1"/>
        </w:rPr>
      </w:pPr>
      <w:r w:rsidDel="00000000" w:rsidR="00000000" w:rsidRPr="00000000">
        <w:rPr>
          <w:rtl w:val="0"/>
        </w:rPr>
      </w:r>
    </w:p>
    <w:p w:rsidR="00000000" w:rsidDel="00000000" w:rsidP="00000000" w:rsidRDefault="00000000" w:rsidRPr="00000000" w14:paraId="00000008">
      <w:pPr>
        <w:spacing w:after="0" w:lineRule="auto"/>
        <w:jc w:val="center"/>
        <w:rPr>
          <w:b w:val="1"/>
          <w:bCs w:val="1"/>
        </w:rPr>
      </w:pPr>
      <w:r w:rsidDel="00000000" w:rsidR="00000000" w:rsidRPr="00000000">
        <w:rPr>
          <w:rtl w:val="0"/>
        </w:rPr>
      </w:r>
    </w:p>
    <w:p w:rsidR="00000000" w:rsidDel="00000000" w:rsidP="00000000" w:rsidRDefault="00000000" w:rsidRPr="00000000" w14:paraId="00000009">
      <w:pPr>
        <w:spacing w:after="0" w:lineRule="auto"/>
        <w:jc w:val="center"/>
        <w:rPr>
          <w:b w:val="1"/>
          <w:bCs w:val="1"/>
        </w:rPr>
      </w:pPr>
      <w:r w:rsidDel="00000000" w:rsidR="00000000" w:rsidRPr="00000000">
        <w:rPr>
          <w:rtl w:val="0"/>
        </w:rPr>
      </w:r>
    </w:p>
    <w:p w:rsidR="00000000" w:rsidDel="00000000" w:rsidP="00000000" w:rsidRDefault="00000000" w:rsidRPr="00000000" w14:paraId="0000000A">
      <w:pPr>
        <w:spacing w:after="0" w:lineRule="auto"/>
        <w:jc w:val="center"/>
        <w:rPr>
          <w:b w:val="1"/>
          <w:bCs w:val="1"/>
        </w:rPr>
      </w:pPr>
      <w:r w:rsidDel="00000000" w:rsidR="00000000" w:rsidRPr="00000000">
        <w:rPr>
          <w:b w:val="1"/>
          <w:bCs w:val="1"/>
          <w:rtl w:val="0"/>
        </w:rPr>
        <w:t xml:space="preserve">TRABAJO PRÁCTICO N° 2</w:t>
      </w:r>
    </w:p>
    <w:p w:rsidR="00000000" w:rsidDel="00000000" w:rsidP="00000000" w:rsidRDefault="00000000" w:rsidRPr="00000000" w14:paraId="0000000B">
      <w:pPr>
        <w:spacing w:after="0" w:lineRule="auto"/>
        <w:jc w:val="center"/>
        <w:rPr>
          <w:b w:val="1"/>
          <w:bCs w:val="1"/>
        </w:rPr>
      </w:pPr>
      <w:r w:rsidDel="00000000" w:rsidR="00000000" w:rsidRPr="00000000">
        <w:rPr>
          <w:b w:val="1"/>
          <w:bCs w:val="1"/>
          <w:rtl w:val="0"/>
        </w:rPr>
        <w:t xml:space="preserve">Cobro a extranjeros en hospitales públicos: claves para entender cómo está funcionando en CABA y otras jurisdicciones</w:t>
      </w:r>
    </w:p>
    <w:p w:rsidR="00000000" w:rsidDel="00000000" w:rsidP="00000000" w:rsidRDefault="00000000" w:rsidRPr="00000000" w14:paraId="0000000C">
      <w:pPr>
        <w:spacing w:after="0" w:lineRule="auto"/>
        <w:jc w:val="center"/>
        <w:rPr/>
      </w:pP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Alumno: Jorge Bulzomi</w:t>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jc w:val="left"/>
        <w:rPr/>
      </w:pPr>
      <w:r w:rsidDel="00000000" w:rsidR="00000000" w:rsidRPr="00000000">
        <w:rPr>
          <w:rtl w:val="0"/>
        </w:rPr>
      </w:r>
    </w:p>
    <w:p w:rsidR="00000000" w:rsidDel="00000000" w:rsidP="00000000" w:rsidRDefault="00000000" w:rsidRPr="00000000" w14:paraId="00000013">
      <w:pPr>
        <w:spacing w:after="0" w:lineRule="auto"/>
        <w:ind w:left="660" w:firstLine="0"/>
        <w:rPr>
          <w:i w:val="1"/>
          <w:iCs w:val="1"/>
        </w:rPr>
      </w:pPr>
      <w:r w:rsidDel="00000000" w:rsidR="00000000" w:rsidRPr="00000000">
        <w:rPr>
          <w:i w:val="1"/>
          <w:iCs w:val="1"/>
          <w:rtl w:val="0"/>
        </w:rPr>
        <w:t xml:space="preserve">Equipo docente:</w:t>
      </w:r>
    </w:p>
    <w:p w:rsidR="00000000" w:rsidDel="00000000" w:rsidP="00000000" w:rsidRDefault="00000000" w:rsidRPr="00000000" w14:paraId="00000014">
      <w:pPr>
        <w:numPr>
          <w:ilvl w:val="0"/>
          <w:numId w:val="1"/>
        </w:numPr>
        <w:spacing w:after="0" w:lineRule="auto"/>
        <w:ind w:left="1086" w:hanging="360"/>
        <w:rPr>
          <w:i w:val="1"/>
          <w:iCs w:val="1"/>
        </w:rPr>
      </w:pPr>
      <w:r w:rsidDel="00000000" w:rsidR="00000000" w:rsidRPr="00000000">
        <w:rPr>
          <w:i w:val="1"/>
          <w:iCs w:val="1"/>
          <w:rtl w:val="0"/>
        </w:rPr>
        <w:t xml:space="preserve">Lic. Silvia Machado</w:t>
      </w:r>
    </w:p>
    <w:p w:rsidR="00000000" w:rsidDel="00000000" w:rsidP="00000000" w:rsidRDefault="00000000" w:rsidRPr="00000000" w14:paraId="00000015">
      <w:pPr>
        <w:numPr>
          <w:ilvl w:val="0"/>
          <w:numId w:val="1"/>
        </w:numPr>
        <w:spacing w:after="0" w:lineRule="auto"/>
        <w:ind w:left="1086" w:hanging="360"/>
        <w:rPr>
          <w:i w:val="1"/>
          <w:iCs w:val="1"/>
        </w:rPr>
      </w:pPr>
      <w:r w:rsidDel="00000000" w:rsidR="00000000" w:rsidRPr="00000000">
        <w:rPr>
          <w:i w:val="1"/>
          <w:iCs w:val="1"/>
          <w:rtl w:val="0"/>
        </w:rPr>
        <w:t xml:space="preserve">Lic. Carmen Maidana</w:t>
      </w:r>
    </w:p>
    <w:p w:rsidR="00000000" w:rsidDel="00000000" w:rsidP="00000000" w:rsidRDefault="00000000" w:rsidRPr="00000000" w14:paraId="00000016">
      <w:pPr>
        <w:numPr>
          <w:ilvl w:val="0"/>
          <w:numId w:val="1"/>
        </w:numPr>
        <w:spacing w:after="0" w:lineRule="auto"/>
        <w:ind w:left="1086" w:hanging="360"/>
        <w:rPr>
          <w:i w:val="1"/>
          <w:iCs w:val="1"/>
        </w:rPr>
      </w:pPr>
      <w:r w:rsidDel="00000000" w:rsidR="00000000" w:rsidRPr="00000000">
        <w:rPr>
          <w:i w:val="1"/>
          <w:iCs w:val="1"/>
          <w:rtl w:val="0"/>
        </w:rPr>
        <w:t xml:space="preserve">Lic. Juliana Luaces</w:t>
      </w:r>
    </w:p>
    <w:p w:rsidR="00000000" w:rsidDel="00000000" w:rsidP="00000000" w:rsidRDefault="00000000" w:rsidRPr="00000000" w14:paraId="00000017">
      <w:pPr>
        <w:numPr>
          <w:ilvl w:val="0"/>
          <w:numId w:val="1"/>
        </w:numPr>
        <w:spacing w:after="0" w:lineRule="auto"/>
        <w:ind w:left="1086" w:hanging="360"/>
        <w:rPr>
          <w:i w:val="1"/>
          <w:iCs w:val="1"/>
        </w:rPr>
      </w:pPr>
      <w:r w:rsidDel="00000000" w:rsidR="00000000" w:rsidRPr="00000000">
        <w:rPr>
          <w:i w:val="1"/>
          <w:iCs w:val="1"/>
          <w:rtl w:val="0"/>
        </w:rPr>
        <w:t xml:space="preserve">Lic. Ileana Becker</w:t>
      </w:r>
    </w:p>
    <w:p w:rsidR="00000000" w:rsidDel="00000000" w:rsidP="00000000" w:rsidRDefault="00000000" w:rsidRPr="00000000" w14:paraId="00000018">
      <w:pPr>
        <w:numPr>
          <w:ilvl w:val="0"/>
          <w:numId w:val="1"/>
        </w:numPr>
        <w:spacing w:after="0" w:lineRule="auto"/>
        <w:ind w:left="1086" w:hanging="360"/>
        <w:rPr>
          <w:i w:val="1"/>
          <w:iCs w:val="1"/>
        </w:rPr>
      </w:pPr>
      <w:r w:rsidDel="00000000" w:rsidR="00000000" w:rsidRPr="00000000">
        <w:rPr>
          <w:i w:val="1"/>
          <w:iCs w:val="1"/>
          <w:rtl w:val="0"/>
        </w:rPr>
        <w:t xml:space="preserve">Irina Villón</w:t>
      </w:r>
    </w:p>
    <w:p w:rsidR="00000000" w:rsidDel="00000000" w:rsidP="00000000" w:rsidRDefault="00000000" w:rsidRPr="00000000" w14:paraId="00000019">
      <w:pPr>
        <w:spacing w:after="0" w:lineRule="auto"/>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1B">
      <w:pPr>
        <w:rPr/>
      </w:pPr>
      <w:r w:rsidDel="00000000" w:rsidR="00000000" w:rsidRPr="00000000">
        <w:rPr>
          <w:rtl w:val="0"/>
        </w:rPr>
        <w:t xml:space="preserve">En los últimos años, el cobro a extranjeros en hospitales públicos ha irrumpido con fuerza en la agenda sanitaria argentina generando un debate que entrelaza la sostenibilidad financiera del sistema, el derecho universal a la salud y las políticas migratorias. Frente a este escenario, el presente trabajo se propone analizar, mediante una matriz FODA (Fortalezas – Oportunidades – Debilidades – Amenazas), las implicancias de esta medida, utilizando como guía un artículo del portal Chequeado que detalla su implementación en diversas jurisdicciones del país. El diagnóstico situacional FODA es una herramienta que posibilita conocer y evaluar las condiciones de operación reales de una organización, a partir del análisis de esas cuatro variables principales, con el fin de proponer acciones y estrategias para su beneficio. (Ramírez Rojas, 2009, pág.55)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br w:type="page"/>
      </w:r>
      <w:r w:rsidDel="00000000" w:rsidR="00000000" w:rsidRPr="00000000">
        <w:rPr>
          <w:rtl w:val="0"/>
        </w:rPr>
        <w:t xml:space="preserve">Desarrollo</w:t>
      </w:r>
    </w:p>
    <w:p w:rsidR="00000000" w:rsidDel="00000000" w:rsidP="00000000" w:rsidRDefault="00000000" w:rsidRPr="00000000" w14:paraId="0000001E">
      <w:pPr>
        <w:rPr/>
      </w:pPr>
      <w:r w:rsidDel="00000000" w:rsidR="00000000" w:rsidRPr="00000000">
        <w:rPr>
          <w:rtl w:val="0"/>
        </w:rPr>
        <w:t xml:space="preserve">La política de salud en Argentina ha sido históricamente reconocida por su carácter universalista. Los pilares fundamentales de esta política están en la Ley de Migraciones N° 25.871, cuyo artículo 6 dice que:</w:t>
      </w:r>
    </w:p>
    <w:p w:rsidR="00000000" w:rsidDel="00000000" w:rsidP="00000000" w:rsidRDefault="00000000" w:rsidRPr="00000000" w14:paraId="0000001F">
      <w:pPr>
        <w:pStyle w:val="Heading5"/>
        <w:rPr/>
      </w:pPr>
      <w:r w:rsidDel="00000000" w:rsidR="00000000" w:rsidRPr="00000000">
        <w:rPr>
          <w:rtl w:val="0"/>
        </w:rPr>
        <w:t xml:space="preserve"> “El Estado en todas sus jurisdicciones asegurará el acceso igualitario de los inmigrantes a las mismas condiciones de protección, amparo y derechos de los que gozan los nacionales, de acuerdo con los derechos y obligaciones correspondientes a cada categoría migratoria, en particular en lo referido a servicios sociales, bienes públicos, salud, educación, justicia, trabajo, empleo y seguridad social”.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su vez, en su artículo 8 se establece que “en caso de emergencia no podrá negársele ni </w:t>
      </w:r>
      <w:r w:rsidDel="00000000" w:rsidR="00000000" w:rsidRPr="00000000">
        <w:rPr>
          <w:rtl w:val="0"/>
        </w:rPr>
        <w:t xml:space="preserve">restringírsele</w:t>
      </w:r>
      <w:r w:rsidDel="00000000" w:rsidR="00000000" w:rsidRPr="00000000">
        <w:rPr>
          <w:rtl w:val="0"/>
        </w:rPr>
        <w:t xml:space="preserve"> el acceso a la asistencia social o a la atención sanitaria a todos los extranjeros que lo requieran, cualquiera sea su situación migratoria”</w:t>
      </w:r>
    </w:p>
    <w:p w:rsidR="00000000" w:rsidDel="00000000" w:rsidP="00000000" w:rsidRDefault="00000000" w:rsidRPr="00000000" w14:paraId="00000022">
      <w:pPr>
        <w:rPr/>
      </w:pPr>
      <w:r w:rsidDel="00000000" w:rsidR="00000000" w:rsidRPr="00000000">
        <w:rPr>
          <w:rtl w:val="0"/>
        </w:rPr>
        <w:t xml:space="preserve">Los extranjeros residentes permanentes podrán acceder al sistema de salud público en igualdad de condiciones que los ciudadanos argentinos.</w:t>
      </w:r>
    </w:p>
    <w:p w:rsidR="00000000" w:rsidDel="00000000" w:rsidP="00000000" w:rsidRDefault="00000000" w:rsidRPr="00000000" w14:paraId="00000023">
      <w:pPr>
        <w:rPr/>
      </w:pPr>
      <w:r w:rsidDel="00000000" w:rsidR="00000000" w:rsidRPr="00000000">
        <w:rPr>
          <w:rtl w:val="0"/>
        </w:rPr>
        <w:t xml:space="preserve">Por su parte la Constitución Nacional en su artículo 20 pone en igualdad de condiciones tanto al ciudadano como al extranjero en cuanto a derechos civiles y expresa claramente que los extranjeros “No están obligados a admitir la ciudadanía, ni a pagar contribuciones forzosas extraordinarias.”</w:t>
      </w:r>
    </w:p>
    <w:p w:rsidR="00000000" w:rsidDel="00000000" w:rsidP="00000000" w:rsidRDefault="00000000" w:rsidRPr="00000000" w14:paraId="00000024">
      <w:pPr>
        <w:rPr/>
      </w:pPr>
      <w:r w:rsidDel="00000000" w:rsidR="00000000" w:rsidRPr="00000000">
        <w:rPr>
          <w:rtl w:val="0"/>
        </w:rPr>
        <w:t xml:space="preserve">Sin embargo, en años recientes, diversas provincias como Salta, Jujuy y Mendoza han iniciado procesos de arancelamiento para extranjeros abriendo el debate social y empujando de esta manera al gobierno nacional que, entre otras cosas, en 2025 modificó la ley de migraciones, particularmente el artículo 8, agregando un párrafo indicando que en los establecimientos públicos dependientes de la nación, salvo en casos de emergencia, “solo se brindará tratamiento médico o atención sanitaria habitual contra la presentación de un seguro de salud o la previa cancelación del servicio”</w:t>
      </w:r>
    </w:p>
    <w:p w:rsidR="00000000" w:rsidDel="00000000" w:rsidP="00000000" w:rsidRDefault="00000000" w:rsidRPr="00000000" w14:paraId="00000025">
      <w:pPr>
        <w:rPr/>
      </w:pPr>
      <w:r w:rsidDel="00000000" w:rsidR="00000000" w:rsidRPr="00000000">
        <w:rPr>
          <w:rtl w:val="0"/>
        </w:rPr>
        <w:t xml:space="preserve">Este cambio de paradigma busca equilibrar la sostenibilidad de un sistema que enfrenta desafíos de saturación y recursos limitados. El análisis FODA se presenta aquí como un "valioso instrumento utilizado en la planificación estratégica para analizar la situación interna y externa" de las instituciones de salud frente a este nuevo escenario regulatorio (Terán-Guerrero et al., 2023, pág. 153).</w:t>
      </w:r>
    </w:p>
    <w:p w:rsidR="00000000" w:rsidDel="00000000" w:rsidP="00000000" w:rsidRDefault="00000000" w:rsidRPr="00000000" w14:paraId="00000026">
      <w:pPr>
        <w:rPr/>
      </w:pPr>
      <w:r w:rsidDel="00000000" w:rsidR="00000000" w:rsidRPr="00000000">
        <w:rPr>
          <w:rtl w:val="0"/>
        </w:rPr>
        <w:t xml:space="preserve">A su vez, para García López y Cano Flores (2013) “La planeación estratégica o planeación a largo plazo, es importante y muy útil cuando una organización se enfrenta a cambios en el contexto o cuando atraviesa por una fase de transición hacia una etapa más madura en su desarrollo” (pág. 87). </w:t>
      </w:r>
    </w:p>
    <w:p w:rsidR="00000000" w:rsidDel="00000000" w:rsidP="00000000" w:rsidRDefault="00000000" w:rsidRPr="00000000" w14:paraId="00000027">
      <w:pPr>
        <w:rPr/>
      </w:pPr>
      <w:r w:rsidDel="00000000" w:rsidR="00000000" w:rsidRPr="00000000">
        <w:rPr>
          <w:rtl w:val="0"/>
        </w:rPr>
        <w:t xml:space="preserve">Para realizar un análisis profundo, es necesario identificar los factores internos y externos que condicionan la atención a extranjeros.</w:t>
      </w:r>
    </w:p>
    <w:p w:rsidR="00000000" w:rsidDel="00000000" w:rsidP="00000000" w:rsidRDefault="00000000" w:rsidRPr="00000000" w14:paraId="00000028">
      <w:pPr>
        <w:pStyle w:val="Heading2"/>
        <w:rPr/>
      </w:pPr>
      <w:r w:rsidDel="00000000" w:rsidR="00000000" w:rsidRPr="00000000">
        <w:rPr>
          <w:rtl w:val="0"/>
        </w:rPr>
        <w:t xml:space="preserve">Fortalezas y Debilidades (internos)</w:t>
      </w:r>
    </w:p>
    <w:p w:rsidR="00000000" w:rsidDel="00000000" w:rsidP="00000000" w:rsidRDefault="00000000" w:rsidRPr="00000000" w14:paraId="00000029">
      <w:pPr>
        <w:rPr/>
      </w:pPr>
      <w:r w:rsidDel="00000000" w:rsidR="00000000" w:rsidRPr="00000000">
        <w:rPr>
          <w:rtl w:val="0"/>
        </w:rPr>
        <w:t xml:space="preserve">Las fortalezas del sistema argentino radican en su robusta infraestructura y capital humano. El sitio Datosmundial refiere que Argentina posee unos 5,11 médicos por cada 1000 habitantes. En comparación, el nivel mundial de este estándar es de 1,86 y en la Unión Europea es 4,15.</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t xml:space="preserve">Aunque distribuidos de forma desigual, Argentina posee una red de hospitales públicos con tecnología y especialidades médicas que actúan como un polo de atracción regional.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tl w:val="0"/>
        </w:rPr>
        <w:t xml:space="preserve">La existencia previa de convenios y programas de atención permite que la transición hacia un modelo de cobro tenga una base administrativa sobre la cual construirse. Múltiples jurisdicciones, como la Ciudad de Buenos Aires, poseen sistemas como FACOEP que se encargan de filtrar y gestionar el cobro, originalmente a obras sociales y prepagas, y actualmente a extranjeros.</w:t>
      </w:r>
    </w:p>
    <w:p w:rsidR="00000000" w:rsidDel="00000000" w:rsidP="00000000" w:rsidRDefault="00000000" w:rsidRPr="00000000" w14:paraId="0000002C">
      <w:pPr>
        <w:rPr/>
      </w:pPr>
      <w:r w:rsidDel="00000000" w:rsidR="00000000" w:rsidRPr="00000000">
        <w:rPr>
          <w:rtl w:val="0"/>
        </w:rPr>
        <w:t xml:space="preserve">No obstante, las </w:t>
      </w:r>
      <w:r w:rsidDel="00000000" w:rsidR="00000000" w:rsidRPr="00000000">
        <w:rPr>
          <w:rtl w:val="0"/>
        </w:rPr>
        <w:t xml:space="preserve">debilidades se evidencian en las </w:t>
      </w:r>
      <w:r w:rsidDel="00000000" w:rsidR="00000000" w:rsidRPr="00000000">
        <w:rPr>
          <w:rtl w:val="0"/>
        </w:rPr>
        <w:t xml:space="preserve">importantes desigualdades entre provincias en cuanto a infraestructura, financiamiento y capacidad de gestión sanitaria. Muchos hospitales presentan saturación, déficit presupuestario y falta de recursos humanos sobre todo en zonas fronterizas.</w:t>
      </w:r>
    </w:p>
    <w:p w:rsidR="00000000" w:rsidDel="00000000" w:rsidP="00000000" w:rsidRDefault="00000000" w:rsidRPr="00000000" w14:paraId="0000002D">
      <w:pPr>
        <w:rPr/>
      </w:pPr>
      <w:r w:rsidDel="00000000" w:rsidR="00000000" w:rsidRPr="00000000">
        <w:rPr>
          <w:rtl w:val="0"/>
        </w:rPr>
        <w:t xml:space="preserve">La ausencia de sistemas integrados de información dificulta el seguimiento y recupero efectivo de gastos médicos, debido a que cada jurisdicción posee sus propios mecanismos de cobro</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Oportunidades y Amenazas (externos)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tl w:val="0"/>
        </w:rPr>
        <w:t xml:space="preserve">En cuanto a las </w:t>
      </w:r>
      <w:r w:rsidDel="00000000" w:rsidR="00000000" w:rsidRPr="00000000">
        <w:rPr>
          <w:rtl w:val="0"/>
        </w:rPr>
        <w:t xml:space="preserve">oportunidades, el cobro por servicios médicos podría generar ingresos genuinos para reinvertir en tecnología y mejora de servicios locales. Se abre la posibilidad de establecer Convenios de Reciprocidad con otros países o acuerdos con aseguradoras internacionales para atraer un flujo de "turismo médico" controlado que no perjudique a la población local</w:t>
      </w: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tl w:val="0"/>
        </w:rPr>
        <w:t xml:space="preserve"> </w:t>
      </w:r>
      <w:r w:rsidDel="00000000" w:rsidR="00000000" w:rsidRPr="00000000">
        <w:rPr>
          <w:rtl w:val="0"/>
        </w:rPr>
        <w:t xml:space="preserve">Diversificación de Servicios:</w:t>
      </w:r>
      <w:r w:rsidDel="00000000" w:rsidR="00000000" w:rsidRPr="00000000">
        <w:rPr>
          <w:rtl w:val="0"/>
        </w:rPr>
        <w:t xml:space="preserve"> La oferta de servicios adicionales "Premium" o de bienestar para pacientes internacionales podría generar una fuente de ingresos alternativa. </w:t>
      </w:r>
    </w:p>
    <w:p w:rsidR="00000000" w:rsidDel="00000000" w:rsidP="00000000" w:rsidRDefault="00000000" w:rsidRPr="00000000" w14:paraId="00000031">
      <w:pPr>
        <w:rPr/>
      </w:pPr>
      <w:r w:rsidDel="00000000" w:rsidR="00000000" w:rsidRPr="00000000">
        <w:rPr>
          <w:rtl w:val="0"/>
        </w:rPr>
        <w:t xml:space="preserve">Por otro lado, las </w:t>
      </w:r>
      <w:r w:rsidDel="00000000" w:rsidR="00000000" w:rsidRPr="00000000">
        <w:rPr>
          <w:rtl w:val="0"/>
        </w:rPr>
        <w:t xml:space="preserve">amenazas principales provienen de la inestabilidad económica y los posibles conflictos judiciales. La implementación de cobros podría colisionar con el espíritu de la Ley 25.871, generando amparos legales basados en el principio de no discriminación. Aumentando la</w:t>
      </w:r>
      <w:r w:rsidDel="00000000" w:rsidR="00000000" w:rsidRPr="00000000">
        <w:rPr>
          <w:rtl w:val="0"/>
        </w:rPr>
        <w:t xml:space="preserve"> percepción negativa sobre la "exclusión" y afectando la imagen internacional del país como garante de derechos humanos.</w:t>
      </w:r>
    </w:p>
    <w:p w:rsidR="00000000" w:rsidDel="00000000" w:rsidP="00000000" w:rsidRDefault="00000000" w:rsidRPr="00000000" w14:paraId="00000032">
      <w:pPr>
        <w:rPr/>
      </w:pPr>
      <w:r w:rsidDel="00000000" w:rsidR="00000000" w:rsidRPr="00000000">
        <w:rPr>
          <w:rtl w:val="0"/>
        </w:rPr>
        <w:t xml:space="preserve">La volatilidad económica argentina puede dificultar la fijación de aranceles competitivos o la previsibilidad en los costos de los insumos importados. Según Sampietro (2024)“ La crisis sanitaria argentina no es reciente. En un plano más general, las entidades prestadoras estiman que entre diciembre de 2019 y febrero de 2024 el costo de dar salud aumentó un 2130%, mientras que los precios generales de la economía, un 1805%”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jc w:val="left"/>
        <w:rPr/>
      </w:pP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Conclusión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FODA realizado revela la naturaleza profundamente polémica y multifacética del cobro a extranjeros en hospitales públicos argentinos.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posible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equilibrar oportunidades y amenazas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maximizar los beneficios. Para ello, es indispensable avanzar hacia un sistema coordinado a nivel federal que unifique criterios y evite la fragmentación normativa actual. La gran oportunidad de crear un mercado de seguros de viaje debe ser aprovechada mediante acuerdos con aseguradoras internacionales que garanticen la cobertura. Al mismo tiempo, para mitigar la amenaza de conflictos diplomáticos, Argentina debe negociar activamente convenios bilaterales de reciprocidad con los países de origen de los flujos migratorios más importantes (Bolivia, Paraguay, Perú), asegurando que el costo de la atención programada sea asumido por el país de origen, descomprimiendo la tensión soberana.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este tipo de estrategias sí podría fortalecer el sistema de salud local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solo en la medida en que los ingresos recaudados se reinviertan de manera eficiente y transparente. La creación de un fondo fiduciario nacional con los aranceles recaudados, destinado exclusivamente a la mejora de infraestructura hospitalaria en zonas de alta demanda migratoria o a la compra de insumos críticos, convertiría una fuente de fricción en un motor de mejora tangible.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definitiva, el cobro a extranjeros no es, per se, una amenaza al derecho a la salud ni una solución mágica a los problemas del sistema. Es una herramienta que, bien gestionada, puede aliviar la presión financiera. Sin embargo, su implementación debe ser cuidadosa, garantizando siempre el acceso universal a las urgencias y evitando caer en prácticas discriminatorias que contradigan la historia humanista de nuestra nación, tal como lo expresa el preámbulo de la Constitución Nacional al buscar "el bienestar general" y asegurar sus beneficios "para todos los hombres del mundo que quieran habitar en el suelo argentino".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Matriz FODA: Cobro a Extranjeros en Salud Pública</w:t>
      </w:r>
    </w:p>
    <w:p w:rsidR="00000000" w:rsidDel="00000000" w:rsidP="00000000" w:rsidRDefault="00000000" w:rsidRPr="00000000" w14:paraId="0000003C">
      <w:pPr>
        <w:pStyle w:val="Heading2"/>
        <w:rPr/>
      </w:pPr>
      <w:r w:rsidDel="00000000" w:rsidR="00000000" w:rsidRPr="00000000">
        <w:rPr>
          <w:rtl w:val="0"/>
        </w:rPr>
        <w:t xml:space="preserve">Conclusión y Reflexión Final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equilibrio entre las oportunidades económicas y las amenazas legales depende de una gestión coordinada. Como indica la teoría administrativa, la identificación de amenazas permite "contrarrestarlas" mediante planes estratégicos que corrijan debilidades internas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(Hugo et al., 2018)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cobro a extranjeros no debe interpretarse como una barrera de acceso, sino como una herramienta de sostenibilidad para un sistema que, aunque robusto en su concepción, enfrenta límites fiscales reales.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estas estrategias fortalezcan el sistema local, es imperativo que los fondos recaudados se afecten directamente a la mejora de la infraestructura y que se respete el artículo 8 de la Ley 25.871 en casos de emergencia, garantizando que el derecho a la salud siga siendo un valor fundamental en el país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(Carrasco &amp; Matamoros, 2017; Lawand &amp; Abud, 2025)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clave reside en diferenciar la atención humanitaria urgente de la "medicina de turismo" programada, promoviendo una discusión de fondo sobre la equidad y la justicia distributiva en salud pública.</w:t>
      </w:r>
    </w:p>
    <w:p w:rsidR="00000000" w:rsidDel="00000000" w:rsidP="00000000" w:rsidRDefault="00000000" w:rsidRPr="00000000" w14:paraId="0000003F">
      <w:pPr>
        <w:spacing w:after="0" w:line="240" w:lineRule="auto"/>
        <w:ind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fgnsrgnsrgnsrgnsr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421221</wp:posOffset>
                </wp:positionH>
                <wp:positionV relativeFrom="paragraph">
                  <wp:posOffset>96979</wp:posOffset>
                </wp:positionV>
                <wp:extent cx="2542487" cy="1926193"/>
                <wp:effectExtent b="0" l="0" r="0" t="0"/>
                <wp:wrapNone/>
                <wp:docPr id="9" name=""/>
                <a:graphic>
                  <a:graphicData uri="http://schemas.microsoft.com/office/word/2010/wordprocessingShape">
                    <wps:wsp>
                      <wps:cNvSpPr/>
                      <wps:cNvPr id="10" name="Shape 10"/>
                      <wps:spPr>
                        <a:xfrm>
                          <a:off x="4084282" y="2826429"/>
                          <a:ext cx="2523437" cy="1907143"/>
                        </a:xfrm>
                        <a:prstGeom prst="snip2DiagRect">
                          <a:avLst>
                            <a:gd fmla="val 0" name="adj1"/>
                            <a:gd fmla="val 16667" name="adj2"/>
                          </a:avLst>
                        </a:prstGeom>
                        <a:solidFill>
                          <a:schemeClr val="lt1"/>
                        </a:solidFill>
                        <a:ln cap="flat" cmpd="sng" w="1905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421221</wp:posOffset>
                </wp:positionH>
                <wp:positionV relativeFrom="paragraph">
                  <wp:posOffset>96979</wp:posOffset>
                </wp:positionV>
                <wp:extent cx="2542487" cy="1926193"/>
                <wp:effectExtent b="0" l="0" r="0" t="0"/>
                <wp:wrapNone/>
                <wp:docPr id="9"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542487" cy="19261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3352029</wp:posOffset>
                </wp:positionH>
                <wp:positionV relativeFrom="paragraph">
                  <wp:posOffset>96979</wp:posOffset>
                </wp:positionV>
                <wp:extent cx="2485782" cy="1926193"/>
                <wp:effectExtent b="0" l="0" r="0" t="0"/>
                <wp:wrapNone/>
                <wp:docPr id="10" name=""/>
                <a:graphic>
                  <a:graphicData uri="http://schemas.microsoft.com/office/word/2010/wordprocessingShape">
                    <wps:wsp>
                      <wps:cNvSpPr/>
                      <wps:cNvPr id="11" name="Shape 11"/>
                      <wps:spPr>
                        <a:xfrm flipH="1" rot="10800000">
                          <a:off x="4112634" y="2826429"/>
                          <a:ext cx="2466732" cy="1907143"/>
                        </a:xfrm>
                        <a:prstGeom prst="snip2DiagRect">
                          <a:avLst>
                            <a:gd fmla="val 0" name="adj1"/>
                            <a:gd fmla="val 16667" name="adj2"/>
                          </a:avLst>
                        </a:prstGeom>
                        <a:solidFill>
                          <a:schemeClr val="lt1"/>
                        </a:solidFill>
                        <a:ln cap="flat" cmpd="sng" w="19050">
                          <a:solidFill>
                            <a:srgbClr val="B3E5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3352029</wp:posOffset>
                </wp:positionH>
                <wp:positionV relativeFrom="paragraph">
                  <wp:posOffset>96979</wp:posOffset>
                </wp:positionV>
                <wp:extent cx="2485782" cy="1926193"/>
                <wp:effectExtent b="0" l="0" r="0" t="0"/>
                <wp:wrapNone/>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485782" cy="19261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3557588</wp:posOffset>
                </wp:positionH>
                <wp:positionV relativeFrom="paragraph">
                  <wp:posOffset>161925</wp:posOffset>
                </wp:positionV>
                <wp:extent cx="2133600" cy="1790700"/>
                <wp:effectExtent b="0" l="0" r="0" t="0"/>
                <wp:wrapNone/>
                <wp:docPr id="5" name=""/>
                <a:graphic>
                  <a:graphicData uri="http://schemas.microsoft.com/office/word/2010/wordprocessingShape">
                    <wps:wsp>
                      <wps:cNvSpPr/>
                      <wps:cNvPr id="6" name="Shape 6"/>
                      <wps:spPr>
                        <a:xfrm>
                          <a:off x="4285868" y="2953723"/>
                          <a:ext cx="2120265" cy="165255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FORTALEZAS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Alta capacitación del personal médico.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Infraestructura hospitalaria extensa.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Experiencia en atención de alta complejidad</w:t>
                            </w:r>
                          </w:p>
                          <w:p w:rsidR="00000000" w:rsidDel="00000000" w:rsidP="00000000" w:rsidRDefault="00000000" w:rsidRPr="00000000">
                            <w:pPr>
                              <w:spacing w:after="160" w:before="0" w:line="360"/>
                              <w:ind w:left="0" w:right="0" w:firstLine="72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3557588</wp:posOffset>
                </wp:positionH>
                <wp:positionV relativeFrom="paragraph">
                  <wp:posOffset>161925</wp:posOffset>
                </wp:positionV>
                <wp:extent cx="2133600" cy="1790700"/>
                <wp:effectExtent b="0" l="0" r="0" t="0"/>
                <wp:wrapNone/>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133600" cy="1790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228600</wp:posOffset>
                </wp:positionV>
                <wp:extent cx="2389830" cy="1662079"/>
                <wp:effectExtent b="0" l="0" r="0" t="0"/>
                <wp:wrapNone/>
                <wp:docPr id="4" name=""/>
                <a:graphic>
                  <a:graphicData uri="http://schemas.microsoft.com/office/word/2010/wordprocessingShape">
                    <wps:wsp>
                      <wps:cNvSpPr/>
                      <wps:cNvPr id="5" name="Shape 5"/>
                      <wps:spPr>
                        <a:xfrm>
                          <a:off x="4155848" y="2953723"/>
                          <a:ext cx="2380305" cy="165255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AMENAZAS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Conflictos legales con la Ley Nacional 25.871.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Inestabilidad política-económica que altere los aranceles.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Percepción ética negativa sobre el acceso universal.</w:t>
                            </w:r>
                          </w:p>
                          <w:p w:rsidR="00000000" w:rsidDel="00000000" w:rsidP="00000000" w:rsidRDefault="00000000" w:rsidRPr="00000000">
                            <w:pPr>
                              <w:spacing w:after="160" w:before="0" w:line="360"/>
                              <w:ind w:left="0" w:right="0" w:firstLine="720"/>
                              <w:jc w:val="both"/>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228600</wp:posOffset>
                </wp:positionV>
                <wp:extent cx="2389830" cy="1662079"/>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389830" cy="1662079"/>
                        </a:xfrm>
                        <a:prstGeom prst="rect"/>
                        <a:ln/>
                      </pic:spPr>
                    </pic:pic>
                  </a:graphicData>
                </a:graphic>
              </wp:anchor>
            </w:drawing>
          </mc:Fallback>
        </mc:AlternateConten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br w:type="page"/>
      </w:r>
      <w:r w:rsidDel="00000000" w:rsidR="00000000" w:rsidRPr="00000000">
        <w:rPr>
          <w:rtl w:val="0"/>
        </w:rPr>
        <w:t xml:space="preserve">Conclusión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3352029</wp:posOffset>
                </wp:positionH>
                <wp:positionV relativeFrom="paragraph">
                  <wp:posOffset>1679687</wp:posOffset>
                </wp:positionV>
                <wp:extent cx="2542487" cy="1926193"/>
                <wp:effectExtent b="0" l="0" r="0" t="0"/>
                <wp:wrapNone/>
                <wp:docPr id="6" name=""/>
                <a:graphic>
                  <a:graphicData uri="http://schemas.microsoft.com/office/word/2010/wordprocessingShape">
                    <wps:wsp>
                      <wps:cNvSpPr/>
                      <wps:cNvPr id="7" name="Shape 7"/>
                      <wps:spPr>
                        <a:xfrm>
                          <a:off x="4084282" y="2826429"/>
                          <a:ext cx="2523437" cy="1907143"/>
                        </a:xfrm>
                        <a:prstGeom prst="snip2DiagRect">
                          <a:avLst>
                            <a:gd fmla="val 0" name="adj1"/>
                            <a:gd fmla="val 16667" name="adj2"/>
                          </a:avLst>
                        </a:prstGeom>
                        <a:solidFill>
                          <a:schemeClr val="lt1"/>
                        </a:solidFill>
                        <a:ln cap="flat" cmpd="sng" w="19050">
                          <a:solidFill>
                            <a:srgbClr val="D341C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3352029</wp:posOffset>
                </wp:positionH>
                <wp:positionV relativeFrom="paragraph">
                  <wp:posOffset>1679687</wp:posOffset>
                </wp:positionV>
                <wp:extent cx="2542487" cy="1926193"/>
                <wp:effectExtent b="0" l="0" r="0" t="0"/>
                <wp:wrapNone/>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542487" cy="19261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477800</wp:posOffset>
                </wp:positionH>
                <wp:positionV relativeFrom="paragraph">
                  <wp:posOffset>1679687</wp:posOffset>
                </wp:positionV>
                <wp:extent cx="2485782" cy="1926193"/>
                <wp:effectExtent b="0" l="0" r="0" t="0"/>
                <wp:wrapNone/>
                <wp:docPr id="8" name=""/>
                <a:graphic>
                  <a:graphicData uri="http://schemas.microsoft.com/office/word/2010/wordprocessingShape">
                    <wps:wsp>
                      <wps:cNvSpPr/>
                      <wps:cNvPr id="9" name="Shape 9"/>
                      <wps:spPr>
                        <a:xfrm flipH="1" rot="10800000">
                          <a:off x="4112634" y="2826429"/>
                          <a:ext cx="2466732" cy="1907143"/>
                        </a:xfrm>
                        <a:prstGeom prst="snip2DiagRect">
                          <a:avLst>
                            <a:gd fmla="val 0" name="adj1"/>
                            <a:gd fmla="val 16667" name="adj2"/>
                          </a:avLst>
                        </a:prstGeom>
                        <a:solidFill>
                          <a:schemeClr val="lt1"/>
                        </a:solidFill>
                        <a:ln cap="flat" cmpd="sng" w="19050">
                          <a:solidFill>
                            <a:srgbClr val="0C0C0C"/>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477800</wp:posOffset>
                </wp:positionH>
                <wp:positionV relativeFrom="paragraph">
                  <wp:posOffset>1679687</wp:posOffset>
                </wp:positionV>
                <wp:extent cx="2485782" cy="1926193"/>
                <wp:effectExtent b="0" l="0" r="0" t="0"/>
                <wp:wrapNone/>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485782" cy="19261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2560320</wp:posOffset>
                </wp:positionH>
                <wp:positionV relativeFrom="paragraph">
                  <wp:posOffset>929667</wp:posOffset>
                </wp:positionV>
                <wp:extent cx="1134758" cy="1167724"/>
                <wp:effectExtent b="0" l="0" r="0" t="0"/>
                <wp:wrapNone/>
                <wp:docPr id="3" name=""/>
                <a:graphic>
                  <a:graphicData uri="http://schemas.microsoft.com/office/word/2010/wordprocessingShape">
                    <wps:wsp>
                      <wps:cNvSpPr/>
                      <wps:cNvPr id="4" name="Shape 4"/>
                      <wps:spPr>
                        <a:xfrm>
                          <a:off x="4788146" y="3205663"/>
                          <a:ext cx="1115708" cy="1148674"/>
                        </a:xfrm>
                        <a:prstGeom prst="ellipse">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72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2560320</wp:posOffset>
                </wp:positionH>
                <wp:positionV relativeFrom="paragraph">
                  <wp:posOffset>929667</wp:posOffset>
                </wp:positionV>
                <wp:extent cx="1134758" cy="1167724"/>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34758" cy="116772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2724150</wp:posOffset>
                </wp:positionH>
                <wp:positionV relativeFrom="paragraph">
                  <wp:posOffset>1290365</wp:posOffset>
                </wp:positionV>
                <wp:extent cx="1060112" cy="577382"/>
                <wp:effectExtent b="0" l="0" r="0" t="0"/>
                <wp:wrapNone/>
                <wp:docPr id="2" name=""/>
                <a:graphic>
                  <a:graphicData uri="http://schemas.microsoft.com/office/word/2010/wordprocessingShape">
                    <wps:wsp>
                      <wps:cNvSpPr/>
                      <wps:cNvPr id="3" name="Shape 3"/>
                      <wps:spPr>
                        <a:xfrm>
                          <a:off x="4820707" y="3550414"/>
                          <a:ext cx="1050587" cy="459172"/>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Arial" w:cs="Arial" w:eastAsia="Arial" w:hAnsi="Arial"/>
                                <w:b w:val="1"/>
                                <w:i w:val="0"/>
                                <w:smallCaps w:val="0"/>
                                <w:strike w:val="0"/>
                                <w:color w:val="ffffff"/>
                                <w:sz w:val="36"/>
                                <w:vertAlign w:val="baseline"/>
                              </w:rPr>
                              <w:t xml:space="preserve">FODA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2724150</wp:posOffset>
                </wp:positionH>
                <wp:positionV relativeFrom="paragraph">
                  <wp:posOffset>1290365</wp:posOffset>
                </wp:positionV>
                <wp:extent cx="1060112" cy="577382"/>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060112" cy="57738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523875</wp:posOffset>
                </wp:positionH>
                <wp:positionV relativeFrom="paragraph">
                  <wp:posOffset>1676400</wp:posOffset>
                </wp:positionV>
                <wp:extent cx="2256473" cy="2022734"/>
                <wp:effectExtent b="0" l="0" r="0" t="0"/>
                <wp:wrapNone/>
                <wp:docPr id="7" name=""/>
                <a:graphic>
                  <a:graphicData uri="http://schemas.microsoft.com/office/word/2010/wordprocessingShape">
                    <wps:wsp>
                      <wps:cNvSpPr/>
                      <wps:cNvPr id="8" name="Shape 8"/>
                      <wps:spPr>
                        <a:xfrm>
                          <a:off x="4155850" y="2953725"/>
                          <a:ext cx="2485800" cy="169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DEBILIDADES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Desigualdad en infraestructura y financiamiento.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Saturación hospitalaria </w:t>
                            </w:r>
                            <w:r w:rsidDel="00000000" w:rsidR="00000000" w:rsidRPr="00000000">
                              <w:rPr>
                                <w:rFonts w:ascii="Arial" w:cs="Arial" w:eastAsia="Arial" w:hAnsi="Arial"/>
                                <w:b w:val="0"/>
                                <w:i w:val="0"/>
                                <w:smallCaps w:val="0"/>
                                <w:strike w:val="0"/>
                                <w:color w:val="000000"/>
                                <w:sz w:val="24"/>
                                <w:vertAlign w:val="baseline"/>
                              </w:rPr>
                              <w:t xml:space="preserve">y déficit de recursos </w:t>
                            </w:r>
                            <w:r w:rsidDel="00000000" w:rsidR="00000000" w:rsidRPr="00000000">
                              <w:rPr>
                                <w:rFonts w:ascii="Arial" w:cs="Arial" w:eastAsia="Arial" w:hAnsi="Arial"/>
                                <w:b w:val="0"/>
                                <w:i w:val="0"/>
                                <w:smallCaps w:val="0"/>
                                <w:strike w:val="0"/>
                                <w:color w:val="000000"/>
                                <w:sz w:val="24"/>
                                <w:vertAlign w:val="baseline"/>
                              </w:rPr>
                              <w:t xml:space="preserve">en zonas fronterizas.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Falta de sistemas integrados para el cobro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360"/>
                              <w:ind w:left="0" w:right="0" w:firstLine="72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523875</wp:posOffset>
                </wp:positionH>
                <wp:positionV relativeFrom="paragraph">
                  <wp:posOffset>1676400</wp:posOffset>
                </wp:positionV>
                <wp:extent cx="2256473" cy="2022734"/>
                <wp:effectExtent b="0" l="0" r="0" t="0"/>
                <wp:wrapNone/>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256473" cy="20227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3552825</wp:posOffset>
                </wp:positionH>
                <wp:positionV relativeFrom="paragraph">
                  <wp:posOffset>1809750</wp:posOffset>
                </wp:positionV>
                <wp:extent cx="2333625" cy="1657350"/>
                <wp:effectExtent b="0" l="0" r="0" t="0"/>
                <wp:wrapNone/>
                <wp:docPr id="1" name=""/>
                <a:graphic>
                  <a:graphicData uri="http://schemas.microsoft.com/office/word/2010/wordprocessingShape">
                    <wps:wsp>
                      <wps:cNvSpPr/>
                      <wps:cNvPr id="2" name="Shape 2"/>
                      <wps:spPr>
                        <a:xfrm>
                          <a:off x="4155850" y="2953725"/>
                          <a:ext cx="2380200" cy="1492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OPORTUNIDADES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Fuentes de ingresos. Mejora del servicio.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Convenios de reciprocidad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Turismo médico (premium)</w:t>
                            </w:r>
                          </w:p>
                          <w:p w:rsidR="00000000" w:rsidDel="00000000" w:rsidP="00000000" w:rsidRDefault="00000000" w:rsidRPr="00000000">
                            <w:pPr>
                              <w:spacing w:after="160" w:before="0" w:line="360"/>
                              <w:ind w:left="0" w:right="0" w:firstLine="720"/>
                              <w:jc w:val="both"/>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3552825</wp:posOffset>
                </wp:positionH>
                <wp:positionV relativeFrom="paragraph">
                  <wp:posOffset>1809750</wp:posOffset>
                </wp:positionV>
                <wp:extent cx="2333625" cy="165735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333625" cy="1657350"/>
                        </a:xfrm>
                        <a:prstGeom prst="rect"/>
                        <a:ln/>
                      </pic:spPr>
                    </pic:pic>
                  </a:graphicData>
                </a:graphic>
              </wp:anchor>
            </w:drawing>
          </mc:Fallback>
        </mc:AlternateContent>
      </w:r>
    </w:p>
    <w:p w:rsidR="00000000" w:rsidDel="00000000" w:rsidP="00000000" w:rsidRDefault="00000000" w:rsidRPr="00000000" w14:paraId="00000048">
      <w:pPr>
        <w:rPr/>
      </w:pPr>
      <w:r w:rsidDel="00000000" w:rsidR="00000000" w:rsidRPr="00000000">
        <w:rPr>
          <w:rtl w:val="0"/>
        </w:rPr>
        <w:t xml:space="preserve">Erfgerfqerfqerf</w:t>
      </w:r>
    </w:p>
    <w:p w:rsidR="00000000" w:rsidDel="00000000" w:rsidP="00000000" w:rsidRDefault="00000000" w:rsidRPr="00000000" w14:paraId="00000049">
      <w:pPr>
        <w:rPr/>
      </w:pPr>
      <w:r w:rsidDel="00000000" w:rsidR="00000000" w:rsidRPr="00000000">
        <w:rPr>
          <w:rtl w:val="0"/>
        </w:rPr>
        <w:t xml:space="preserve">Qerfqerfqerf</w:t>
      </w:r>
    </w:p>
    <w:p w:rsidR="00000000" w:rsidDel="00000000" w:rsidP="00000000" w:rsidRDefault="00000000" w:rsidRPr="00000000" w14:paraId="0000004A">
      <w:pPr>
        <w:pStyle w:val="Heading1"/>
        <w:rPr/>
      </w:pPr>
      <w:r w:rsidDel="00000000" w:rsidR="00000000" w:rsidRPr="00000000">
        <w:br w:type="page"/>
      </w:r>
      <w:r w:rsidDel="00000000" w:rsidR="00000000" w:rsidRPr="00000000">
        <w:rPr>
          <w:rtl w:val="0"/>
        </w:rPr>
        <w:t xml:space="preserve">Referencia bibliográfica</w:t>
      </w:r>
    </w:p>
    <w:p w:rsidR="00000000" w:rsidDel="00000000" w:rsidP="00000000" w:rsidRDefault="00000000" w:rsidRPr="00000000" w14:paraId="0000004B">
      <w:pPr>
        <w:spacing w:after="0" w:before="280" w:line="480" w:lineRule="auto"/>
        <w:ind w:left="720" w:hanging="720"/>
        <w:jc w:val="left"/>
        <w:rPr/>
      </w:pPr>
      <w:r w:rsidDel="00000000" w:rsidR="00000000" w:rsidRPr="00000000">
        <w:rPr>
          <w:i w:val="1"/>
          <w:iCs w:val="1"/>
          <w:rtl w:val="0"/>
        </w:rPr>
        <w:t xml:space="preserve">Cobro a extranjeros en hospitales públicos: claves para entender cómo está funcionando en CABA y otras jurisdicciones</w:t>
      </w:r>
      <w:r w:rsidDel="00000000" w:rsidR="00000000" w:rsidRPr="00000000">
        <w:rPr>
          <w:rtl w:val="0"/>
        </w:rPr>
        <w:t xml:space="preserve">. (2025, abril 17). Chequeado. https://chequeado.com/el-explicador/cobro-a-extranjeros-en-hospitales-publicos-claves-para-entender-como-esta-funcionando-en-caba-y-otras-jurisdicciones/</w:t>
      </w:r>
    </w:p>
    <w:p w:rsidR="00000000" w:rsidDel="00000000" w:rsidP="00000000" w:rsidRDefault="00000000" w:rsidRPr="00000000" w14:paraId="0000004C">
      <w:pPr>
        <w:spacing w:after="0" w:before="280" w:line="480" w:lineRule="auto"/>
        <w:ind w:left="720" w:hanging="720"/>
        <w:jc w:val="left"/>
        <w:rPr/>
      </w:pPr>
      <w:r w:rsidDel="00000000" w:rsidR="00000000" w:rsidRPr="00000000">
        <w:rPr>
          <w:i w:val="1"/>
          <w:iCs w:val="1"/>
          <w:rtl w:val="0"/>
        </w:rPr>
        <w:t xml:space="preserve">Constitución de la Nación Argentina. Artículo N° 20. 3 de enero de 1995</w:t>
      </w:r>
      <w:r w:rsidDel="00000000" w:rsidR="00000000" w:rsidRPr="00000000">
        <w:rPr>
          <w:rtl w:val="0"/>
        </w:rPr>
        <w:t xml:space="preserve">. (Argentina). https://servicios.infoleg.gob.ar/infolegInternet/anexos/0-4999/804/norma.htm</w:t>
      </w:r>
    </w:p>
    <w:p w:rsidR="00000000" w:rsidDel="00000000" w:rsidP="00000000" w:rsidRDefault="00000000" w:rsidRPr="00000000" w14:paraId="0000004D">
      <w:pPr>
        <w:spacing w:after="0" w:before="280" w:line="480" w:lineRule="auto"/>
        <w:ind w:left="720" w:hanging="720"/>
        <w:jc w:val="left"/>
        <w:rPr/>
      </w:pPr>
      <w:r w:rsidDel="00000000" w:rsidR="00000000" w:rsidRPr="00000000">
        <w:rPr>
          <w:rtl w:val="0"/>
        </w:rPr>
        <w:t xml:space="preserve">García López, T., &amp; Cano Flores, M. (2013). EL FODA: UNA TÉCNICA PARA EL ANÁLISIS DE PROBLEMAS EN EL CONTEXTO DE LA PLANEACIÓN EN LAS ORGANIZACIONES. </w:t>
      </w:r>
      <w:r w:rsidDel="00000000" w:rsidR="00000000" w:rsidRPr="00000000">
        <w:rPr>
          <w:i w:val="1"/>
          <w:iCs w:val="1"/>
          <w:rtl w:val="0"/>
        </w:rPr>
        <w:t xml:space="preserve">foda 1999-2000</w:t>
      </w:r>
      <w:r w:rsidDel="00000000" w:rsidR="00000000" w:rsidRPr="00000000">
        <w:rPr>
          <w:rtl w:val="0"/>
        </w:rPr>
        <w:t xml:space="preserve">, 84–98. https://www.uv.mx/iiesca/files/2013/01/foda1999-2000.pdf</w:t>
      </w:r>
    </w:p>
    <w:p w:rsidR="00000000" w:rsidDel="00000000" w:rsidP="00000000" w:rsidRDefault="00000000" w:rsidRPr="00000000" w14:paraId="0000004E">
      <w:pPr>
        <w:spacing w:after="0" w:before="280" w:line="480" w:lineRule="auto"/>
        <w:ind w:left="720" w:hanging="720"/>
        <w:jc w:val="left"/>
        <w:rPr/>
      </w:pPr>
      <w:r w:rsidDel="00000000" w:rsidR="00000000" w:rsidRPr="00000000">
        <w:rPr>
          <w:i w:val="1"/>
          <w:iCs w:val="1"/>
          <w:rtl w:val="0"/>
        </w:rPr>
        <w:t xml:space="preserve">Ley 25871 de 2004. Migraciones</w:t>
      </w:r>
      <w:r w:rsidDel="00000000" w:rsidR="00000000" w:rsidRPr="00000000">
        <w:rPr>
          <w:rtl w:val="0"/>
        </w:rPr>
        <w:t xml:space="preserve">. 21 de enero de 2004. BO N°30322. https://servicios.infoleg.gob.ar/infolegInternet/anexos/90000-94999/92016/texact.htm</w:t>
      </w:r>
    </w:p>
    <w:p w:rsidR="00000000" w:rsidDel="00000000" w:rsidP="00000000" w:rsidRDefault="00000000" w:rsidRPr="00000000" w14:paraId="0000004F">
      <w:pPr>
        <w:spacing w:after="0" w:before="280" w:line="480" w:lineRule="auto"/>
        <w:ind w:left="720" w:hanging="720"/>
        <w:jc w:val="left"/>
        <w:rPr/>
      </w:pPr>
      <w:r w:rsidDel="00000000" w:rsidR="00000000" w:rsidRPr="00000000">
        <w:rPr>
          <w:rtl w:val="0"/>
        </w:rPr>
        <w:t xml:space="preserve">Ramírez Rojas, J. L. (2009). Procedimiento para la elaboración de un análisis FODA como una herramienta de planeación estratégica en las empresas. </w:t>
      </w:r>
      <w:r w:rsidDel="00000000" w:rsidR="00000000" w:rsidRPr="00000000">
        <w:rPr>
          <w:i w:val="1"/>
          <w:iCs w:val="1"/>
          <w:rtl w:val="0"/>
        </w:rPr>
        <w:t xml:space="preserve">Ciencia administrativa IIESCA</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 54–61. https://www.uv.mx/iiesca/files/2012/12/herramienta2009-2.pdf</w:t>
      </w:r>
    </w:p>
    <w:p w:rsidR="00000000" w:rsidDel="00000000" w:rsidP="00000000" w:rsidRDefault="00000000" w:rsidRPr="00000000" w14:paraId="00000050">
      <w:pPr>
        <w:spacing w:after="0" w:before="280" w:line="480" w:lineRule="auto"/>
        <w:ind w:left="720" w:hanging="720"/>
        <w:jc w:val="left"/>
        <w:rPr/>
      </w:pPr>
      <w:r w:rsidDel="00000000" w:rsidR="00000000" w:rsidRPr="00000000">
        <w:rPr>
          <w:rtl w:val="0"/>
        </w:rPr>
        <w:t xml:space="preserve">Terán-Guerrero, F. N., Martínez-Martínez, E. J., Pluas-Llamuca, G. G., Román-Aguirre, R. D., Hernández-Altamirano, H. E., &amp; Gallardo-Chiluisa, N. N. (2023). </w:t>
      </w:r>
      <w:r w:rsidDel="00000000" w:rsidR="00000000" w:rsidRPr="00000000">
        <w:rPr>
          <w:i w:val="1"/>
          <w:iCs w:val="1"/>
          <w:rtl w:val="0"/>
        </w:rPr>
        <w:t xml:space="preserve">Planeación estratégica: Conceptos y herramientas para su aplicación</w:t>
      </w:r>
      <w:r w:rsidDel="00000000" w:rsidR="00000000" w:rsidRPr="00000000">
        <w:rPr>
          <w:rtl w:val="0"/>
        </w:rPr>
        <w:t xml:space="preserve">. Editorial Grupo AEA.</w:t>
      </w:r>
    </w:p>
    <w:p w:rsidR="00000000" w:rsidDel="00000000" w:rsidP="00000000" w:rsidRDefault="00000000" w:rsidRPr="00000000" w14:paraId="00000051">
      <w:pPr>
        <w:rPr/>
      </w:pPr>
      <w:r w:rsidDel="00000000" w:rsidR="00000000" w:rsidRPr="00000000">
        <w:rPr>
          <w:rtl w:val="0"/>
        </w:rPr>
      </w:r>
    </w:p>
    <w:sectPr>
      <w:headerReference r:id="rId10" w:type="default"/>
      <w:headerReference r:id="rId11" w:type="first"/>
      <w:headerReference r:id="rId12" w:type="even"/>
      <w:pgSz w:h="16839" w:w="11907" w:orient="portrait"/>
      <w:pgMar w:bottom="1843" w:top="2835" w:left="1134" w:right="127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3" style="position:absolute;width:595.7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1" style="position:absolute;width:595.7pt;height:841.9pt;rotation:0;z-index:-503316481;mso-position-horizontal-relative:margin;mso-position-horizontal:absolute;margin-left:-57.5pt;mso-position-vertical-relative:margin;mso-position-vertical:absolute;margin-top:-141.9499212598425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2" style="position:absolute;width:595.7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AR"/>
      </w:rPr>
    </w:rPrDefault>
    <w:pPrDefault>
      <w:pPr>
        <w:spacing w:after="1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firstLine="0"/>
      <w:jc w:val="center"/>
    </w:pPr>
    <w:rPr>
      <w:b w:val="1"/>
      <w:bCs w:val="1"/>
      <w:sz w:val="28"/>
      <w:szCs w:val="28"/>
    </w:rPr>
  </w:style>
  <w:style w:type="paragraph" w:styleId="Heading2">
    <w:name w:val="heading 2"/>
    <w:basedOn w:val="Normal"/>
    <w:next w:val="Normal"/>
    <w:pPr>
      <w:keepNext w:val="1"/>
      <w:spacing w:after="60" w:before="240" w:lineRule="auto"/>
      <w:ind w:firstLine="0"/>
    </w:pPr>
    <w:rPr>
      <w:b w:val="1"/>
      <w:bCs w:val="1"/>
    </w:rPr>
  </w:style>
  <w:style w:type="paragraph" w:styleId="Heading3">
    <w:name w:val="heading 3"/>
    <w:basedOn w:val="Normal"/>
    <w:next w:val="Normal"/>
    <w:pPr>
      <w:keepNext w:val="1"/>
      <w:spacing w:after="60" w:before="240" w:lineRule="auto"/>
    </w:pPr>
    <w:rPr>
      <w:rFonts w:ascii="Play" w:cs="Play" w:eastAsia="Play" w:hAnsi="Play"/>
      <w:b w:val="1"/>
      <w:bCs w:val="1"/>
      <w:sz w:val="26"/>
      <w:szCs w:val="26"/>
    </w:rPr>
  </w:style>
  <w:style w:type="paragraph" w:styleId="Heading4">
    <w:name w:val="heading 4"/>
    <w:basedOn w:val="Normal"/>
    <w:next w:val="Normal"/>
    <w:pPr>
      <w:keepNext w:val="1"/>
      <w:keepLines w:val="1"/>
      <w:spacing w:after="0" w:before="40" w:lineRule="auto"/>
    </w:pPr>
    <w:rPr>
      <w:rFonts w:ascii="Play" w:cs="Play" w:eastAsia="Play" w:hAnsi="Play"/>
      <w:i w:val="1"/>
      <w:iCs w:val="1"/>
      <w:color w:val="0f4761"/>
    </w:rPr>
  </w:style>
  <w:style w:type="paragraph" w:styleId="Heading5">
    <w:name w:val="heading 5"/>
    <w:basedOn w:val="Normal"/>
    <w:next w:val="Normal"/>
    <w:pPr>
      <w:keepNext w:val="1"/>
      <w:spacing w:after="0" w:line="240" w:lineRule="auto"/>
      <w:ind w:left="1418" w:firstLine="0"/>
    </w:pPr>
    <w:rPr>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Play" w:cs="Play" w:eastAsia="Play" w:hAnsi="Play"/>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header" Target="header1.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ummy-citation.com/citation?d=z%3A7Va7chs3FKUdz8RFPgJlMiOREvOS060pyuJEL0vyeFJeApdLUFhgBWBpUZUyqVLnK1LkA9RGP5YDLCnRlvMBnlFDYhf3cc65D%2FL3285XE%2Bd1qe3XfNm4yIsX%2Fw6NCLpsNNvIInoa08yJ2rvaWRZshOJA3jtjHI6isaI2ZAUHmEYutXQb4rJhUbOvdCRBRpK9Ji9ISOejEwtRsdJkEdTQtcPTzHkKgq0wLghtlZaknOcgSFXa6hxZz51gXE48pVSNjI0nADBCAqjPWBC1tC5EYBDSwBPfl432jU%2BwxLeD4dHuqBi8%2Fa4rQLKFbWiM7ApgyINvClg5fKaAsPFOcsjBH7BI7db50gauJ7hjizCGRKVDslik87w9wx8PXNVgRV1x0HDpRGDhmYy%2BpqQiWRyDDlCpqjnqlvFVZA%2BlWn%2FnS7IwzwCAl4RWIK8nAOFhEASK5GNjtSJUCQioYkvXFDaQDCUFvrZk98k0ipwSfDYaWiOSYfgjlOKxNm3grjjMFYRe0Og%2B1t7xbpEStXKkcqaqrnTCmVoUPvcHQds5y%2BnSbi3XZ8gusgv6x%2BsZqpYc1vDgIlVSIGtyjq4CgTm40GwV7rE08AEyj4JE8slgpdVSdALN%2Bzolo7FhtFruUTeeoUJzB13X2zV1dsw8V03fFSdJWJPjLHvNJ6ip%2BSJTlaZsWd6PtVofIfAiA3RZ749j5M6UwLLkdS9xLuiUJPu2yXD9KEdoSva4Ca31J6KDfhofTvyBJO0E5E%2Fir1Dk0gAAYj5sCoBIXZ7U93k7LEcI0jjljMujmLswLwTPEgwTldx4n85WWyY9bhZ5uijoXOzkDJpwTMDTzOYl0srZVR%2Bcv7jtfDOlcZ7X%2BLTVnrba01Z72mpf9FYzJJEysNpNUfpb%2FR83t7erFInQl35kJw5%2F50pq4tT5cMM6hIafT%2BbONBU%2Fq%2B8ND5yk6Pxt55muqeRTsiXfdp4DqA%2FxBG9eTiFpezIroHAIf8BKWTQUvicTwDILtd%2BUDpTQluX%2B3d8SZgpLlDuPTaeFkXf%2FzMm35uFMmzmo%2FkaW41Qc0ZzC%2F7oOoEcqwzJTYSaelWvNpVbhtvNC6TC2N%2FgM9kZWVM76O69ebf3w807%2F%2B6mrMQOGry7eP7ycZXmylrP%2B1vbO5tZPm9v9MjTjuKhT7gtsTi0Nn%2BPxGerHbvIrxmL9NcbCmAVsjdSR1evFwDU2dqLnCXu2ktV7%2FBCF9m1afsDAJwfF0WhvNCgGo7u%2FjsTw7Py0OL%2F78w3eiMHx4bHYH56eFoej4dF5IXaH4g0ssmVx%2Bvbd6Hw4OMdDMh5m5%2BL1wXAwyubHZ8n%2BrDh4t6sSiZey8eZqbxpjHX7p9dKPi%2BWr2nXRIlhvY%2BcuQhd7uQdafNWtp3Wy6S0J9pT7YI0j1dvZ7u30%2FwM%3D" TargetMode="External"/><Relationship Id="rId8" Type="http://schemas.openxmlformats.org/officeDocument/2006/relationships/hyperlink" Target="https://dummy-citation.com/citation?d=z%3A7VhNbxxJGXayGxYhISFxSU6UBEKLGM%2F0jMfjsQ8o3iS7ifKxVhbYvdZ01%2FSU0101qer2R07Riiv%2FIVEOKEiWWFkr5FxA6dNy5cqBA2ckzrnwPNU9H06cDUhwcyLb%2FVH11vv5vM%2FbX56svDe2TqfafKAelrZQhx9k28LL6kWiRPVcOBVbM1GxTqSIbW5Fop3ShRWTMpfGCiXGpUlkrkwhM2GkuGaNL3RR6up31TMrRk56nSntpIDA7uZwiC0qF4mNS26yXmhTKGdkrK2R2rdELr3wpRRqrAq9h4Ox0duxUyLTuS4kBH%2BtPMTF1jmICNci16njq2e2hdUj5aTRkAEDfOGoDPeMtY9xRlvcs%2BKucrH1ZdYSynscmeixjsuMx%2BF8JWQ%2BzbSEplriDB4xtVl1VOg4LN5TLg2Ht2q%2FWJHbRGVWlIbvvMy0L%2BTCfrpKCmNdLoUMWzW89bCEWOm9LfFSHSAODmenJZbj0VSmwbMWV3AgLZEmpTAvDL0L43QStGiLT0e79JfdEtLwcOmoGDfiaRCjBPbVWmI%2FNeH64L2PgppQcXumWkuMSjjLJDaIcUqZRDlK0BAaM3C7pauOEg0v0uWxhmchYeYlCpYiVwlTZ2ExcmbqbAyfI5dUCP4scDAnZRJkbXG3el7YhLYktrDlKuKBfIM0Ps1sitA%2BLGFlEYxrUVIsXfUUmQQ3TjMLq6tjp%2Bn1hReQGotshVbIQ2mqp3AW4tskpERCzHzD%2FIGR2k9dCTfDQryEOKHM2DJ0iUpKykXwcESB4CUwe%2Bq0iaujqcY1qieUQ5PdEHg63WFzVl9zp1zUV%2FWkqcIWLxOdmroSQt3BYjzUKVwQHqJUcXu2K%2B8rJDnMtX4L%2BubUx8Edecg9O4t8ikfMEFkgzrpOukYg0wJ%2FUNJ4VvsdW52YMobBiTDI6cbfjWUsK4OllCMXWbVI9rouDRMeK0I%2BtOA55ZXbC1knp8qg0lBtdYqqHBVX%2FZ5RYG3gySL7oQsiZppKuIF6FjgHZuCIpuhCOJ3ag7uRSiKeNAEUrlE4uBeZDHv4BqvmhVxDEDPJwHdTQAn9nVXHKcCgsSTIn8oyJBYM9aWHKws50s3%2BgD2Ix%2FabNYF0chKHxjw2ZIwr6zBiH%2FOe8JsEQJvFlWo2KE29MgtF8Ai5GtPhsVWu8RVciYIDNswDSnsJTi3mGwwqCBU8ASfC1QBtiMPZrDeP09Eg8JtOKVgMBaKiDphEjTIEVMB%2BnJUeElCzwQZLu99iBc6YwW9APaS1dEhN%2FajZkVdHRmNLgrOWYRdhaIpC%2BSm6ksxqYIPp1VOn6iVjhzix5QRcAODRI%2BhuiATgGAD7emhYeh6GKbaeRWkyGnBdoWqd6n5E5Yn%2FoUrRUeZ4wtZVV5Fm%2BuZSWyKwok8gqvaH0yqcOC%2FPZN%2B6Bycr35%2FIEesyLs7773n%2FPe%2B%2F5%2F33vP%2Be99%2Fz%2Fvt%2F778ofua%2BSq6j8tJe1Ftf7XZzJprURrlbAJqTlfdT5NXEOv8YHZDg%2BzEB2CVRuxtBpyJTB637ai80nLqeZw33eoMms65cp%2Fp4z2YAu8tXpvOD7iCBIPJk5YJG11H32WdOVi6iJzpf7ODJlQtiksnZdTsLtaBHJTZ5TPEXEwM34O94LHOdHY7vyH2UMczcU2Zv2xWT0om7QCyViY8BF1QwcTZTK2%2FuTbZHgNuw8%2BE1iUW05NMM9%2FNNSCUPv8SJ1b4btQe99bWo40ZJ3Fuf9obDRPuReYzf3nypu4ON4ermen9Dg36srfbWorWJJbjAbQ8%2B7%2Fe7gx7%2Bb6zvYnlZB2K3CcRqd%2FAA5W1LF6tfueygPymKqd%2FqhKPa6ATtkesAVOj5DhtAnKlOYvdNZmXS6Uf9Tr83SH05Kg6nNPBBs%2BaXuL2AUCg7vo1sWX6s0IGyQ6zNYl2o5KPDa7Y0xUrhkH5gO7FKPgdj8%2BHpxSb4P72BWJwBWXw05z%2FPbEItvhuXMOTHM0PgwLZ1aecMJ56sXEqJK3Va7DIt7pU5mNVo0G%2B%2B2byfT5PxTZ1OMvwUiMgFHXbANP8bBnY0sgeI03iiuODV1QtydQX%2FkkyNcffzv%2Fztz7hDLk9fXb3xJH6MG7Wvk2Ly6uovqr9y5dKxPzxL4OXNfzxZCFwr7v59LvCTP%2F2WNzOBO9%2F8i7fvEviT219ffYuGt7%2F5o1gSeL8T%2FScafnhza0nDUwJ3%2FnmRrxYCr1D%2BssDmm9j7ezsAE09G6AqCX4buUVRH4KtWDF%2B%2BQHOqvpLobADpLZLbqU3AhoRRKWDRq4ydftZxq6P6iTLC8PaFCU02CCUYAS1ZcWD%2BEwInpCKhyqTFK2ALsZN9JTC%2BjM07PKiODdYZMDK2XClI1Lwg0wy9wuwqslY2EajsiMak6KBTgU5otQrA8op9E1BclABhSgysHgkIkR%2FeUYfi3ssXvfX2cKPbEjC%2FoPm3IAM9eX4Dx7Tpk5%2BBCBiw%2BBF51cxZgdmHmQYU1Mys5AyCmgEkjDKQiWXlgwI1zUehKsBGgnXoFKHtsB%2BV7HZgwUHfGtrLDE5ABZKKYBXGJ3iygCq6eg4vgSOT5wB5RT07uHLadFayJvq5oQjBXcsEBgwFbddmGVkGYmPx2qXssBnchnIVX3whyMdybapjNCGjxwh7IFSlCc2eFLOGEg1SyKxAI%2BXTZoYKfApaLFnVmCQQbM2mzxvYtpyEg5cv4Pqs5qRNmL04pCU4qKa3gTtPrYPdPIfUV4HrQY%2B2uI62HWhGUKc6wixGZ9B9i0OYNWESoux57KA473lmah9B7qm40ZSaY9MSWnXm7hltJX%2B8IznjUM860XU%2Bqo4zUj1i6mmVIEWGUkIAmkBjEXTBSKTFCLnCiYekJFiHiQVpD3LskEE5phTEj2zCT62Hs9ERao0Wc3SjN4fn4fpaCMyMVQcvY0OTz9URbK99s7C%2BvvP5sskxpmrua0zHfRmIWeMN0tdwalu8%2BXXgvTKk9MIBYdh8FGBiTtSWy3bBcpG7tfhCWQyOfIB8WeYl1FNMUAccJWIbCngpsUHndDxZPoecHPkQw6n6UXVMvtecgZVFE%2FP6AdEDV5iGODMEYszvEVEPUwewFcXhlUcl1SgZh6mODh7jh7zZeH4fqJ6ikvhxYLn0KB5owhKuK7f%2BYAA7sPH18DIvACIsx7AXZLQeGJHZDMok0MpG4V9DVxoTvpx0A8umQ1CCZCWsN1c9TzmuhdEu5gQMx9FR4fAwjNpD1rev53lQ4%2BAeoHG68A8hAql0CF%2FgBTOWZnuNiwk4H6oStV59ZUUvivrBLfABxnAHjAkFgVOm1TGAG2ezxLAeXrZAIWLMTqOD%2BESDemtMAEbXwT2dSwGb63RCPPCyTDBRkqDPYK9GutCuar9%2Fe86hSyhTuzsA7URDS5QFyH0DrU1agJnWcxEicO%2FlH%2BoeE85amA1MAAjQYgKcViNQribZQl%2BYZxVT3MlgMbWpp8mzoRoX%2BFJ2zC2nKwEFuWTRmWNC9PqYcOmtY8LapgrktiGM%2FjMtPoM%2FvNjGUA3nofSbmeAH%2F8VIcHl1PhFcvvmugWACJo%2FRBAPRnNgzbe8BA%2FNRidb7tmlA38WACqhE2YWd6X1wG53i12IQ%2BA4HgYMfgcT2o8FGx0cb3c3VaLM%2F7EXdQRRFiB9%2BnZoKsGS42tvsRryqF8e5THd7g243Whv0e8OMQ8J28PutpOiudYdrG5u9jfVeNNwc9ofDqLc0Riy2nR4juhurUW%2B1Nzw1RrTIvkG%2B9%2Ff32z7W%2BB7XjrMOqHQHXy46e92B6XGaiHptPPtfjA%2BXzhwfvteMDzs7ZxXR%2FJvNFoqRbzB7zUD8HcC9NGh0zhg0vi1G%2FwY%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o48s20zCdBsVABHyRK7JicG5Q==">CgMxLjA4AHIhMWkzT0Q5SGVVdEtyUC1PbG9tbElCQ25lTmxDRFU5T0lu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